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pStyle w:val="2"/>
      </w:pPr>
    </w:p>
    <w:p>
      <w:pPr>
        <w:pStyle w:val="2"/>
      </w:pPr>
    </w:p>
    <w:p>
      <w:pPr>
        <w:pStyle w:val="2"/>
      </w:pPr>
    </w:p>
    <w:p>
      <w:pPr>
        <w:pStyle w:val="2"/>
      </w:pPr>
    </w:p>
    <w:p>
      <w:pPr>
        <w:pStyle w:val="2"/>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193"/>
      <w:bookmarkStart w:id="2" w:name="_Toc15396597"/>
      <w:bookmarkStart w:id="3" w:name="_Toc15378441"/>
      <w:bookmarkStart w:id="4" w:name="_Toc15377425"/>
      <w:bookmarkStart w:id="5" w:name="_Toc15396475"/>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476"/>
      <w:bookmarkStart w:id="7" w:name="_Toc15377194"/>
      <w:bookmarkStart w:id="8" w:name="_Toc15377426"/>
      <w:bookmarkStart w:id="9" w:name="_Toc15378442"/>
      <w:bookmarkStart w:id="10" w:name="_Toc15396598"/>
      <w:r>
        <w:rPr>
          <w:rFonts w:hint="eastAsia" w:ascii="方正小标宋简体" w:hAnsi="宋体" w:eastAsia="方正小标宋简体"/>
          <w:color w:val="000000"/>
          <w:sz w:val="72"/>
          <w:szCs w:val="72"/>
        </w:rPr>
        <w:t>四川省阿坝州</w:t>
      </w:r>
      <w:bookmarkEnd w:id="0"/>
      <w:bookmarkStart w:id="11" w:name="_Toc15306268"/>
      <w:r>
        <w:rPr>
          <w:rFonts w:hint="eastAsia" w:ascii="方正小标宋简体" w:hAnsi="宋体" w:eastAsia="方正小标宋简体"/>
          <w:color w:val="000000"/>
          <w:sz w:val="72"/>
          <w:szCs w:val="72"/>
        </w:rPr>
        <w:t>总工会部门决算</w:t>
      </w:r>
      <w:bookmarkEnd w:id="6"/>
      <w:bookmarkEnd w:id="7"/>
      <w:bookmarkEnd w:id="8"/>
      <w:bookmarkEnd w:id="9"/>
      <w:bookmarkEnd w:id="10"/>
      <w:bookmarkEnd w:id="11"/>
      <w:r>
        <w:rPr>
          <w:rFonts w:hint="eastAsia" w:ascii="方正小标宋简体" w:hAnsi="宋体" w:eastAsia="方正小标宋简体"/>
          <w:color w:val="000000"/>
          <w:sz w:val="72"/>
          <w:szCs w:val="72"/>
        </w:rPr>
        <w:t>公开</w:t>
      </w:r>
    </w:p>
    <w:p>
      <w:pPr>
        <w:widowControl/>
        <w:jc w:val="center"/>
        <w:rPr>
          <w:rFonts w:ascii="方正小标宋简体" w:hAnsi="宋体" w:eastAsia="方正小标宋简体"/>
          <w:color w:val="000000"/>
          <w:sz w:val="36"/>
          <w:szCs w:val="36"/>
        </w:rPr>
      </w:pPr>
    </w:p>
    <w:p>
      <w:pPr>
        <w:widowControl/>
        <w:jc w:val="center"/>
        <w:rPr>
          <w:rFonts w:ascii="方正小标宋简体" w:hAnsi="宋体" w:eastAsia="方正小标宋简体"/>
          <w:color w:val="000000"/>
          <w:sz w:val="36"/>
          <w:szCs w:val="36"/>
        </w:rPr>
      </w:pPr>
    </w:p>
    <w:p>
      <w:pPr>
        <w:widowControl/>
        <w:jc w:val="center"/>
        <w:rPr>
          <w:rFonts w:ascii="方正小标宋简体" w:hAnsi="宋体" w:eastAsia="方正小标宋简体"/>
          <w:color w:val="000000"/>
          <w:sz w:val="36"/>
          <w:szCs w:val="36"/>
        </w:rPr>
      </w:pPr>
    </w:p>
    <w:p>
      <w:pPr>
        <w:widowControl/>
        <w:jc w:val="center"/>
        <w:rPr>
          <w:rFonts w:ascii="方正小标宋简体" w:hAnsi="宋体" w:eastAsia="方正小标宋简体"/>
          <w:color w:val="000000"/>
          <w:sz w:val="36"/>
          <w:szCs w:val="36"/>
        </w:rPr>
      </w:pPr>
    </w:p>
    <w:p>
      <w:pPr>
        <w:widowControl/>
        <w:tabs>
          <w:tab w:val="left" w:pos="675"/>
        </w:tabs>
        <w:ind w:firstLine="140" w:firstLineChars="50"/>
        <w:rPr>
          <w:rFonts w:ascii="方正小标宋简体" w:hAnsi="宋体" w:eastAsia="方正小标宋简体"/>
          <w:sz w:val="28"/>
          <w:szCs w:val="28"/>
        </w:rPr>
      </w:pPr>
      <w:r>
        <w:rPr>
          <w:rFonts w:hint="eastAsia" w:ascii="方正小标宋简体" w:hAnsi="宋体" w:eastAsia="方正小标宋简体"/>
          <w:sz w:val="28"/>
          <w:szCs w:val="28"/>
        </w:rPr>
        <w:t>保密审查情况：已审查，内容审定</w:t>
      </w:r>
    </w:p>
    <w:p>
      <w:pPr>
        <w:widowControl/>
        <w:rPr>
          <w:rFonts w:ascii="黑体" w:hAnsi="黑体" w:eastAsia="黑体"/>
          <w:color w:val="000000"/>
          <w:sz w:val="48"/>
          <w:szCs w:val="48"/>
        </w:rPr>
      </w:pPr>
      <w:r>
        <w:rPr>
          <w:rFonts w:hint="eastAsia"/>
          <w:sz w:val="28"/>
          <w:szCs w:val="28"/>
        </w:rPr>
        <w:t xml:space="preserve">  </w:t>
      </w:r>
      <w:r>
        <w:rPr>
          <w:rFonts w:hint="eastAsia" w:ascii="方正小标宋简体" w:eastAsia="方正小标宋简体" w:hAnsiTheme="majorEastAsia"/>
          <w:sz w:val="28"/>
          <w:szCs w:val="28"/>
        </w:rPr>
        <w:t>部门主要负责人审签情况：已审签，同意对外公开</w:t>
      </w: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1"/>
      </w:pPr>
      <w:r>
        <w:rPr>
          <w:rFonts w:hint="eastAsia"/>
        </w:rPr>
        <w:t>公开时间：2020年</w:t>
      </w:r>
      <w:r>
        <w:t>9</w:t>
      </w:r>
      <w:r>
        <w:rPr>
          <w:rFonts w:hint="eastAsia"/>
        </w:rPr>
        <w:t>月29日</w:t>
      </w:r>
    </w:p>
    <w:p/>
    <w:p>
      <w:pPr>
        <w:pStyle w:val="11"/>
        <w:jc w:val="both"/>
        <w:rPr>
          <w:rFonts w:cstheme="minorBidi"/>
        </w:rPr>
      </w:pPr>
      <w:r>
        <w:fldChar w:fldCharType="begin"/>
      </w:r>
      <w:r>
        <w:instrText xml:space="preserve"> HYPERLINK \l "_Toc15396599" </w:instrText>
      </w:r>
      <w:r>
        <w:fldChar w:fldCharType="separate"/>
      </w:r>
      <w:r>
        <w:rPr>
          <w:rStyle w:val="17"/>
          <w:rFonts w:hint="eastAsia"/>
        </w:rPr>
        <w:t>第一部分</w:t>
      </w:r>
      <w:r>
        <w:rPr>
          <w:rStyle w:val="17"/>
        </w:rPr>
        <w:t xml:space="preserve"> </w:t>
      </w:r>
      <w:r>
        <w:rPr>
          <w:rStyle w:val="17"/>
          <w:rFonts w:hint="eastAsia"/>
        </w:rPr>
        <w:t>部门概况</w:t>
      </w:r>
      <w:r>
        <w:rPr>
          <w:rStyle w:val="17"/>
          <w:rFonts w:hint="eastAsia"/>
        </w:rPr>
        <w:fldChar w:fldCharType="end"/>
      </w:r>
    </w:p>
    <w:p>
      <w:pPr>
        <w:pStyle w:val="12"/>
        <w:rPr>
          <w:rFonts w:ascii="仿宋" w:hAnsi="仿宋" w:eastAsia="仿宋" w:cstheme="minorBidi"/>
          <w:sz w:val="28"/>
          <w:szCs w:val="28"/>
        </w:rPr>
      </w:pPr>
      <w:r>
        <w:fldChar w:fldCharType="begin"/>
      </w:r>
      <w:r>
        <w:instrText xml:space="preserve"> HYPERLINK \l "_Toc15396600" </w:instrText>
      </w:r>
      <w:r>
        <w:fldChar w:fldCharType="separate"/>
      </w:r>
      <w:r>
        <w:rPr>
          <w:rStyle w:val="17"/>
          <w:rFonts w:hint="eastAsia" w:ascii="仿宋" w:hAnsi="仿宋" w:eastAsia="仿宋"/>
          <w:sz w:val="28"/>
          <w:szCs w:val="28"/>
        </w:rPr>
        <w:t>一、基本职能及主要工作</w:t>
      </w:r>
      <w:r>
        <w:rPr>
          <w:rStyle w:val="17"/>
          <w:rFonts w:hint="eastAsia" w:ascii="仿宋" w:hAnsi="仿宋" w:eastAsia="仿宋"/>
          <w:sz w:val="28"/>
          <w:szCs w:val="28"/>
        </w:rPr>
        <w:fldChar w:fldCharType="end"/>
      </w:r>
    </w:p>
    <w:p>
      <w:pPr>
        <w:pStyle w:val="12"/>
        <w:rPr>
          <w:rFonts w:ascii="仿宋" w:hAnsi="仿宋" w:eastAsia="仿宋" w:cstheme="minorBidi"/>
          <w:sz w:val="28"/>
          <w:szCs w:val="28"/>
        </w:rPr>
      </w:pPr>
      <w:r>
        <w:fldChar w:fldCharType="begin"/>
      </w:r>
      <w:r>
        <w:instrText xml:space="preserve"> HYPERLINK \l "_Toc15396601" </w:instrText>
      </w:r>
      <w:r>
        <w:fldChar w:fldCharType="separate"/>
      </w:r>
      <w:r>
        <w:rPr>
          <w:rStyle w:val="17"/>
          <w:rFonts w:hint="eastAsia" w:ascii="仿宋" w:hAnsi="仿宋" w:eastAsia="仿宋"/>
          <w:sz w:val="28"/>
          <w:szCs w:val="28"/>
        </w:rPr>
        <w:t>二、机构设置</w:t>
      </w:r>
      <w:r>
        <w:rPr>
          <w:rStyle w:val="17"/>
          <w:rFonts w:hint="eastAsia" w:ascii="仿宋" w:hAnsi="仿宋" w:eastAsia="仿宋"/>
          <w:sz w:val="28"/>
          <w:szCs w:val="28"/>
        </w:rPr>
        <w:fldChar w:fldCharType="end"/>
      </w:r>
    </w:p>
    <w:p>
      <w:pPr>
        <w:pStyle w:val="11"/>
        <w:jc w:val="both"/>
      </w:pPr>
      <w:r>
        <w:fldChar w:fldCharType="begin"/>
      </w:r>
      <w:r>
        <w:instrText xml:space="preserve"> HYPERLINK \l "_Toc15396602" </w:instrText>
      </w:r>
      <w:r>
        <w:fldChar w:fldCharType="separate"/>
      </w:r>
      <w:r>
        <w:rPr>
          <w:rStyle w:val="17"/>
          <w:rFonts w:hint="eastAsia"/>
        </w:rPr>
        <w:t>第二部分</w:t>
      </w:r>
      <w:r>
        <w:rPr>
          <w:rStyle w:val="17"/>
        </w:rPr>
        <w:t xml:space="preserve"> 20</w:t>
      </w:r>
      <w:r>
        <w:rPr>
          <w:rStyle w:val="17"/>
          <w:rFonts w:hint="eastAsia"/>
        </w:rPr>
        <w:t>19年度部门决算情况说明</w:t>
      </w:r>
      <w:r>
        <w:rPr>
          <w:rStyle w:val="17"/>
          <w:rFonts w:hint="eastAsia"/>
        </w:rPr>
        <w:fldChar w:fldCharType="end"/>
      </w:r>
    </w:p>
    <w:p>
      <w:pPr>
        <w:pStyle w:val="12"/>
        <w:rPr>
          <w:rFonts w:ascii="仿宋" w:hAnsi="仿宋" w:eastAsia="仿宋" w:cstheme="minorBidi"/>
          <w:sz w:val="28"/>
          <w:szCs w:val="28"/>
        </w:rPr>
      </w:pPr>
      <w:r>
        <w:fldChar w:fldCharType="begin"/>
      </w:r>
      <w:r>
        <w:instrText xml:space="preserve"> HYPERLINK \l "_Toc15396603" </w:instrText>
      </w:r>
      <w:r>
        <w:fldChar w:fldCharType="separate"/>
      </w:r>
      <w:r>
        <w:rPr>
          <w:rStyle w:val="17"/>
          <w:rFonts w:hint="eastAsia" w:ascii="仿宋" w:hAnsi="仿宋" w:eastAsia="仿宋" w:cstheme="majorBidi"/>
          <w:bCs/>
          <w:sz w:val="28"/>
          <w:szCs w:val="28"/>
        </w:rPr>
        <w:t>一、</w:t>
      </w:r>
      <w:r>
        <w:rPr>
          <w:rStyle w:val="17"/>
          <w:rFonts w:hint="eastAsia" w:ascii="仿宋" w:hAnsi="仿宋" w:eastAsia="仿宋"/>
          <w:sz w:val="28"/>
          <w:szCs w:val="28"/>
        </w:rPr>
        <w:t>收</w:t>
      </w:r>
      <w:r>
        <w:rPr>
          <w:rStyle w:val="17"/>
          <w:rFonts w:hint="eastAsia" w:ascii="仿宋" w:hAnsi="仿宋" w:eastAsia="仿宋" w:cstheme="majorBidi"/>
          <w:bCs/>
          <w:sz w:val="28"/>
          <w:szCs w:val="28"/>
        </w:rPr>
        <w:t>入支出决算总体情况说明</w:t>
      </w:r>
      <w:r>
        <w:rPr>
          <w:rStyle w:val="17"/>
          <w:rFonts w:hint="eastAsia" w:ascii="仿宋" w:hAnsi="仿宋" w:eastAsia="仿宋" w:cstheme="majorBidi"/>
          <w:bCs/>
          <w:sz w:val="28"/>
          <w:szCs w:val="28"/>
        </w:rPr>
        <w:fldChar w:fldCharType="end"/>
      </w:r>
    </w:p>
    <w:p>
      <w:pPr>
        <w:pStyle w:val="12"/>
        <w:rPr>
          <w:rFonts w:ascii="仿宋" w:hAnsi="仿宋" w:eastAsia="仿宋" w:cstheme="minorBidi"/>
          <w:sz w:val="28"/>
          <w:szCs w:val="28"/>
        </w:rPr>
      </w:pPr>
      <w:r>
        <w:fldChar w:fldCharType="begin"/>
      </w:r>
      <w:r>
        <w:instrText xml:space="preserve"> HYPERLINK \l "_Toc15396604" </w:instrText>
      </w:r>
      <w:r>
        <w:fldChar w:fldCharType="separate"/>
      </w:r>
      <w:r>
        <w:rPr>
          <w:rStyle w:val="17"/>
          <w:rFonts w:hint="eastAsia" w:ascii="仿宋" w:hAnsi="仿宋" w:eastAsia="仿宋" w:cstheme="majorBidi"/>
          <w:bCs/>
          <w:sz w:val="28"/>
          <w:szCs w:val="28"/>
        </w:rPr>
        <w:t>二、</w:t>
      </w:r>
      <w:r>
        <w:rPr>
          <w:rStyle w:val="17"/>
          <w:rFonts w:hint="eastAsia" w:ascii="仿宋" w:hAnsi="仿宋" w:eastAsia="仿宋"/>
          <w:sz w:val="28"/>
          <w:szCs w:val="28"/>
        </w:rPr>
        <w:t>收</w:t>
      </w:r>
      <w:r>
        <w:rPr>
          <w:rStyle w:val="17"/>
          <w:rFonts w:hint="eastAsia" w:ascii="仿宋" w:hAnsi="仿宋" w:eastAsia="仿宋" w:cstheme="majorBidi"/>
          <w:bCs/>
          <w:sz w:val="28"/>
          <w:szCs w:val="28"/>
        </w:rPr>
        <w:t>入决算情况说明</w:t>
      </w:r>
      <w:r>
        <w:rPr>
          <w:rStyle w:val="17"/>
          <w:rFonts w:hint="eastAsia" w:ascii="仿宋" w:hAnsi="仿宋" w:eastAsia="仿宋" w:cstheme="majorBidi"/>
          <w:bCs/>
          <w:sz w:val="28"/>
          <w:szCs w:val="28"/>
        </w:rPr>
        <w:fldChar w:fldCharType="end"/>
      </w:r>
    </w:p>
    <w:p>
      <w:pPr>
        <w:pStyle w:val="12"/>
        <w:rPr>
          <w:rFonts w:ascii="仿宋" w:hAnsi="仿宋" w:eastAsia="仿宋" w:cstheme="minorBidi"/>
          <w:sz w:val="28"/>
          <w:szCs w:val="28"/>
        </w:rPr>
      </w:pPr>
      <w:r>
        <w:fldChar w:fldCharType="begin"/>
      </w:r>
      <w:r>
        <w:instrText xml:space="preserve"> HYPERLINK \l "_Toc15396605" </w:instrText>
      </w:r>
      <w:r>
        <w:fldChar w:fldCharType="separate"/>
      </w:r>
      <w:r>
        <w:rPr>
          <w:rStyle w:val="17"/>
          <w:rFonts w:hint="eastAsia" w:ascii="仿宋" w:hAnsi="仿宋" w:eastAsia="仿宋" w:cstheme="majorBidi"/>
          <w:bCs/>
          <w:sz w:val="28"/>
          <w:szCs w:val="28"/>
        </w:rPr>
        <w:t>三、</w:t>
      </w:r>
      <w:r>
        <w:rPr>
          <w:rStyle w:val="17"/>
          <w:rFonts w:hint="eastAsia" w:ascii="仿宋" w:hAnsi="仿宋" w:eastAsia="仿宋"/>
          <w:sz w:val="28"/>
          <w:szCs w:val="28"/>
        </w:rPr>
        <w:t>支</w:t>
      </w:r>
      <w:r>
        <w:rPr>
          <w:rStyle w:val="17"/>
          <w:rFonts w:hint="eastAsia" w:ascii="仿宋" w:hAnsi="仿宋" w:eastAsia="仿宋" w:cstheme="majorBidi"/>
          <w:bCs/>
          <w:sz w:val="28"/>
          <w:szCs w:val="28"/>
        </w:rPr>
        <w:t>出决算情况说明</w:t>
      </w:r>
      <w:r>
        <w:rPr>
          <w:rStyle w:val="17"/>
          <w:rFonts w:hint="eastAsia" w:ascii="仿宋" w:hAnsi="仿宋" w:eastAsia="仿宋" w:cstheme="majorBidi"/>
          <w:bCs/>
          <w:sz w:val="28"/>
          <w:szCs w:val="28"/>
        </w:rPr>
        <w:fldChar w:fldCharType="end"/>
      </w:r>
    </w:p>
    <w:p>
      <w:pPr>
        <w:pStyle w:val="12"/>
        <w:rPr>
          <w:rFonts w:ascii="仿宋" w:hAnsi="仿宋" w:eastAsia="仿宋" w:cstheme="minorBidi"/>
          <w:sz w:val="28"/>
          <w:szCs w:val="28"/>
        </w:rPr>
      </w:pPr>
      <w:r>
        <w:fldChar w:fldCharType="begin"/>
      </w:r>
      <w:r>
        <w:instrText xml:space="preserve"> HYPERLINK \l "_Toc15396606" </w:instrText>
      </w:r>
      <w:r>
        <w:fldChar w:fldCharType="separate"/>
      </w:r>
      <w:r>
        <w:rPr>
          <w:rStyle w:val="17"/>
          <w:rFonts w:hint="eastAsia" w:ascii="仿宋" w:hAnsi="仿宋" w:eastAsia="仿宋"/>
          <w:sz w:val="28"/>
          <w:szCs w:val="28"/>
        </w:rPr>
        <w:t>四、财</w:t>
      </w:r>
      <w:r>
        <w:rPr>
          <w:rStyle w:val="17"/>
          <w:rFonts w:hint="eastAsia" w:ascii="仿宋" w:hAnsi="仿宋" w:eastAsia="仿宋" w:cstheme="majorBidi"/>
          <w:bCs/>
          <w:sz w:val="28"/>
          <w:szCs w:val="28"/>
        </w:rPr>
        <w:t>政拨款收入支出决算总体情况说明</w:t>
      </w:r>
      <w:r>
        <w:rPr>
          <w:rStyle w:val="17"/>
          <w:rFonts w:hint="eastAsia" w:ascii="仿宋" w:hAnsi="仿宋" w:eastAsia="仿宋" w:cstheme="majorBidi"/>
          <w:bCs/>
          <w:sz w:val="28"/>
          <w:szCs w:val="28"/>
        </w:rPr>
        <w:fldChar w:fldCharType="end"/>
      </w:r>
    </w:p>
    <w:p>
      <w:pPr>
        <w:pStyle w:val="12"/>
        <w:rPr>
          <w:rFonts w:ascii="仿宋" w:hAnsi="仿宋" w:eastAsia="仿宋" w:cstheme="minorBidi"/>
          <w:sz w:val="28"/>
          <w:szCs w:val="28"/>
        </w:rPr>
      </w:pPr>
      <w:r>
        <w:fldChar w:fldCharType="begin"/>
      </w:r>
      <w:r>
        <w:instrText xml:space="preserve"> HYPERLINK \l "_Toc15396607" </w:instrText>
      </w:r>
      <w:r>
        <w:fldChar w:fldCharType="separate"/>
      </w:r>
      <w:r>
        <w:rPr>
          <w:rStyle w:val="17"/>
          <w:rFonts w:hint="eastAsia" w:ascii="仿宋" w:hAnsi="仿宋" w:eastAsia="仿宋"/>
          <w:sz w:val="28"/>
          <w:szCs w:val="28"/>
        </w:rPr>
        <w:t>五、一</w:t>
      </w:r>
      <w:r>
        <w:rPr>
          <w:rStyle w:val="17"/>
          <w:rFonts w:hint="eastAsia" w:ascii="仿宋" w:hAnsi="仿宋" w:eastAsia="仿宋" w:cstheme="majorBidi"/>
          <w:bCs/>
          <w:sz w:val="28"/>
          <w:szCs w:val="28"/>
        </w:rPr>
        <w:t>般公共预算财政拨款支出决算情况说明</w:t>
      </w:r>
      <w:r>
        <w:rPr>
          <w:rStyle w:val="17"/>
          <w:rFonts w:hint="eastAsia" w:ascii="仿宋" w:hAnsi="仿宋" w:eastAsia="仿宋" w:cstheme="majorBidi"/>
          <w:bCs/>
          <w:sz w:val="28"/>
          <w:szCs w:val="28"/>
        </w:rPr>
        <w:fldChar w:fldCharType="end"/>
      </w:r>
    </w:p>
    <w:p>
      <w:pPr>
        <w:pStyle w:val="12"/>
        <w:rPr>
          <w:rFonts w:ascii="仿宋" w:hAnsi="仿宋" w:eastAsia="仿宋" w:cstheme="minorBidi"/>
          <w:sz w:val="28"/>
          <w:szCs w:val="28"/>
        </w:rPr>
      </w:pPr>
      <w:r>
        <w:fldChar w:fldCharType="begin"/>
      </w:r>
      <w:r>
        <w:instrText xml:space="preserve"> HYPERLINK \l "_Toc15396608" </w:instrText>
      </w:r>
      <w:r>
        <w:fldChar w:fldCharType="separate"/>
      </w:r>
      <w:r>
        <w:rPr>
          <w:rStyle w:val="17"/>
          <w:rFonts w:hint="eastAsia" w:ascii="仿宋" w:hAnsi="仿宋" w:eastAsia="仿宋"/>
          <w:sz w:val="28"/>
          <w:szCs w:val="28"/>
        </w:rPr>
        <w:t>六、一</w:t>
      </w:r>
      <w:r>
        <w:rPr>
          <w:rStyle w:val="17"/>
          <w:rFonts w:hint="eastAsia" w:ascii="仿宋" w:hAnsi="仿宋" w:eastAsia="仿宋" w:cstheme="majorBidi"/>
          <w:bCs/>
          <w:sz w:val="28"/>
          <w:szCs w:val="28"/>
        </w:rPr>
        <w:t>般公共预算财政拨款基本支出决算情况说明</w:t>
      </w:r>
      <w:r>
        <w:rPr>
          <w:rStyle w:val="17"/>
          <w:rFonts w:hint="eastAsia" w:ascii="仿宋" w:hAnsi="仿宋" w:eastAsia="仿宋" w:cstheme="majorBidi"/>
          <w:bCs/>
          <w:sz w:val="28"/>
          <w:szCs w:val="28"/>
        </w:rPr>
        <w:fldChar w:fldCharType="end"/>
      </w:r>
    </w:p>
    <w:p>
      <w:pPr>
        <w:pStyle w:val="12"/>
        <w:rPr>
          <w:rFonts w:ascii="仿宋" w:hAnsi="仿宋" w:eastAsia="仿宋" w:cstheme="minorBidi"/>
          <w:sz w:val="28"/>
          <w:szCs w:val="28"/>
        </w:rPr>
      </w:pPr>
      <w:r>
        <w:fldChar w:fldCharType="begin"/>
      </w:r>
      <w:r>
        <w:instrText xml:space="preserve"> HYPERLINK \l "_Toc15396609" </w:instrText>
      </w:r>
      <w:r>
        <w:fldChar w:fldCharType="separate"/>
      </w:r>
      <w:r>
        <w:rPr>
          <w:rStyle w:val="17"/>
          <w:rFonts w:hint="eastAsia" w:ascii="仿宋" w:hAnsi="仿宋" w:eastAsia="仿宋"/>
          <w:sz w:val="28"/>
          <w:szCs w:val="28"/>
        </w:rPr>
        <w:t>七、</w:t>
      </w:r>
      <w:r>
        <w:rPr>
          <w:rStyle w:val="17"/>
          <w:rFonts w:ascii="仿宋" w:hAnsi="仿宋" w:eastAsia="仿宋"/>
          <w:sz w:val="28"/>
          <w:szCs w:val="28"/>
        </w:rPr>
        <w:t>“</w:t>
      </w:r>
      <w:r>
        <w:rPr>
          <w:rStyle w:val="17"/>
          <w:rFonts w:hint="eastAsia" w:ascii="仿宋" w:hAnsi="仿宋" w:eastAsia="仿宋" w:cstheme="majorBidi"/>
          <w:bCs/>
          <w:sz w:val="28"/>
          <w:szCs w:val="28"/>
        </w:rPr>
        <w:t>三公”经费财政拨款支出决算情况说明</w:t>
      </w:r>
      <w:r>
        <w:rPr>
          <w:rStyle w:val="17"/>
          <w:rFonts w:hint="eastAsia" w:ascii="仿宋" w:hAnsi="仿宋" w:eastAsia="仿宋" w:cstheme="majorBidi"/>
          <w:bCs/>
          <w:sz w:val="28"/>
          <w:szCs w:val="28"/>
        </w:rPr>
        <w:fldChar w:fldCharType="end"/>
      </w:r>
    </w:p>
    <w:p>
      <w:pPr>
        <w:pStyle w:val="12"/>
        <w:rPr>
          <w:rFonts w:ascii="仿宋" w:hAnsi="仿宋" w:eastAsia="仿宋" w:cstheme="minorBidi"/>
          <w:sz w:val="28"/>
          <w:szCs w:val="28"/>
        </w:rPr>
      </w:pPr>
      <w:r>
        <w:fldChar w:fldCharType="begin"/>
      </w:r>
      <w:r>
        <w:instrText xml:space="preserve"> HYPERLINK \l "_Toc15396610" </w:instrText>
      </w:r>
      <w:r>
        <w:fldChar w:fldCharType="separate"/>
      </w:r>
      <w:r>
        <w:rPr>
          <w:rStyle w:val="17"/>
          <w:rFonts w:hint="eastAsia" w:ascii="仿宋" w:hAnsi="仿宋" w:eastAsia="仿宋"/>
          <w:sz w:val="28"/>
          <w:szCs w:val="28"/>
        </w:rPr>
        <w:t>八、</w:t>
      </w:r>
      <w:r>
        <w:rPr>
          <w:rStyle w:val="17"/>
          <w:rFonts w:hint="eastAsia" w:ascii="仿宋" w:hAnsi="仿宋" w:eastAsia="仿宋" w:cstheme="majorBidi"/>
          <w:bCs/>
          <w:sz w:val="28"/>
          <w:szCs w:val="28"/>
        </w:rPr>
        <w:t>政府性基金预算支出决算情况说明</w:t>
      </w:r>
      <w:r>
        <w:rPr>
          <w:rStyle w:val="17"/>
          <w:rFonts w:hint="eastAsia" w:ascii="仿宋" w:hAnsi="仿宋" w:eastAsia="仿宋" w:cstheme="majorBidi"/>
          <w:bCs/>
          <w:sz w:val="28"/>
          <w:szCs w:val="28"/>
        </w:rPr>
        <w:fldChar w:fldCharType="end"/>
      </w:r>
    </w:p>
    <w:p>
      <w:pPr>
        <w:pStyle w:val="12"/>
        <w:rPr>
          <w:rFonts w:ascii="仿宋" w:hAnsi="仿宋" w:eastAsia="仿宋" w:cstheme="minorBidi"/>
          <w:sz w:val="28"/>
          <w:szCs w:val="28"/>
        </w:rPr>
      </w:pPr>
      <w:r>
        <w:fldChar w:fldCharType="begin"/>
      </w:r>
      <w:r>
        <w:instrText xml:space="preserve"> HYPERLINK \l "_Toc15396611" </w:instrText>
      </w:r>
      <w:r>
        <w:fldChar w:fldCharType="separate"/>
      </w:r>
      <w:r>
        <w:rPr>
          <w:rStyle w:val="17"/>
          <w:rFonts w:hint="eastAsia" w:ascii="仿宋" w:hAnsi="仿宋" w:eastAsia="仿宋" w:cstheme="majorBidi"/>
          <w:bCs/>
          <w:sz w:val="28"/>
          <w:szCs w:val="28"/>
        </w:rPr>
        <w:t>九、</w:t>
      </w:r>
      <w:r>
        <w:rPr>
          <w:rStyle w:val="17"/>
          <w:rFonts w:hint="eastAsia" w:ascii="仿宋" w:hAnsi="仿宋" w:eastAsia="仿宋"/>
          <w:sz w:val="28"/>
          <w:szCs w:val="28"/>
        </w:rPr>
        <w:t xml:space="preserve"> 国</w:t>
      </w:r>
      <w:r>
        <w:rPr>
          <w:rStyle w:val="17"/>
          <w:rFonts w:hint="eastAsia" w:ascii="仿宋" w:hAnsi="仿宋" w:eastAsia="仿宋" w:cstheme="majorBidi"/>
          <w:bCs/>
          <w:sz w:val="28"/>
          <w:szCs w:val="28"/>
        </w:rPr>
        <w:t>有资本经营预算支出决算情况说明</w:t>
      </w:r>
      <w:r>
        <w:rPr>
          <w:rStyle w:val="17"/>
          <w:rFonts w:hint="eastAsia" w:ascii="仿宋" w:hAnsi="仿宋" w:eastAsia="仿宋" w:cstheme="majorBidi"/>
          <w:bCs/>
          <w:sz w:val="28"/>
          <w:szCs w:val="28"/>
        </w:rPr>
        <w:fldChar w:fldCharType="end"/>
      </w:r>
    </w:p>
    <w:p>
      <w:pPr>
        <w:pStyle w:val="12"/>
        <w:rPr>
          <w:rFonts w:ascii="仿宋" w:hAnsi="仿宋" w:eastAsia="仿宋" w:cstheme="minorBidi"/>
          <w:sz w:val="28"/>
          <w:szCs w:val="28"/>
        </w:rPr>
      </w:pPr>
      <w:r>
        <w:fldChar w:fldCharType="begin"/>
      </w:r>
      <w:r>
        <w:instrText xml:space="preserve"> HYPERLINK \l "_Toc15396612" </w:instrText>
      </w:r>
      <w:r>
        <w:fldChar w:fldCharType="separate"/>
      </w:r>
      <w:r>
        <w:rPr>
          <w:rStyle w:val="17"/>
          <w:rFonts w:hint="eastAsia" w:ascii="仿宋" w:hAnsi="仿宋" w:eastAsia="仿宋"/>
          <w:sz w:val="28"/>
          <w:szCs w:val="28"/>
        </w:rPr>
        <w:t>十</w:t>
      </w:r>
      <w:r>
        <w:rPr>
          <w:rStyle w:val="17"/>
          <w:rFonts w:hint="eastAsia" w:ascii="仿宋" w:hAnsi="仿宋" w:eastAsia="仿宋" w:cstheme="majorBidi"/>
          <w:bCs/>
          <w:sz w:val="28"/>
          <w:szCs w:val="28"/>
        </w:rPr>
        <w:t>一、其他重要事项的情况说明</w:t>
      </w:r>
      <w:r>
        <w:rPr>
          <w:rStyle w:val="17"/>
          <w:rFonts w:hint="eastAsia" w:ascii="仿宋" w:hAnsi="仿宋" w:eastAsia="仿宋" w:cstheme="majorBidi"/>
          <w:bCs/>
          <w:sz w:val="28"/>
          <w:szCs w:val="28"/>
        </w:rPr>
        <w:fldChar w:fldCharType="end"/>
      </w:r>
    </w:p>
    <w:p>
      <w:pPr>
        <w:pStyle w:val="11"/>
        <w:jc w:val="both"/>
        <w:rPr>
          <w:rFonts w:cstheme="minorBidi"/>
        </w:rPr>
      </w:pPr>
      <w:r>
        <w:fldChar w:fldCharType="begin"/>
      </w:r>
      <w:r>
        <w:instrText xml:space="preserve"> HYPERLINK \l "_Toc15396613" </w:instrText>
      </w:r>
      <w:r>
        <w:fldChar w:fldCharType="separate"/>
      </w:r>
      <w:r>
        <w:rPr>
          <w:rStyle w:val="17"/>
          <w:rFonts w:hint="eastAsia"/>
          <w:bCs/>
          <w:kern w:val="44"/>
        </w:rPr>
        <w:t>第三部分</w:t>
      </w:r>
      <w:r>
        <w:rPr>
          <w:rStyle w:val="17"/>
          <w:rFonts w:hint="eastAsia"/>
        </w:rPr>
        <w:t xml:space="preserve"> 名</w:t>
      </w:r>
      <w:r>
        <w:rPr>
          <w:rStyle w:val="17"/>
          <w:rFonts w:hint="eastAsia"/>
          <w:bCs/>
          <w:kern w:val="44"/>
        </w:rPr>
        <w:t>词解释</w:t>
      </w:r>
      <w:r>
        <w:rPr>
          <w:rStyle w:val="17"/>
          <w:rFonts w:hint="eastAsia"/>
          <w:bCs/>
          <w:kern w:val="44"/>
        </w:rPr>
        <w:fldChar w:fldCharType="end"/>
      </w:r>
    </w:p>
    <w:p>
      <w:pPr>
        <w:pStyle w:val="11"/>
        <w:jc w:val="both"/>
        <w:rPr>
          <w:rFonts w:cstheme="minorBidi"/>
        </w:rPr>
      </w:pPr>
      <w:r>
        <w:fldChar w:fldCharType="begin"/>
      </w:r>
      <w:r>
        <w:instrText xml:space="preserve"> HYPERLINK \l "_Toc15396614" </w:instrText>
      </w:r>
      <w:r>
        <w:fldChar w:fldCharType="separate"/>
      </w:r>
      <w:r>
        <w:rPr>
          <w:rStyle w:val="17"/>
          <w:rFonts w:hint="eastAsia"/>
        </w:rPr>
        <w:t>第</w:t>
      </w:r>
      <w:r>
        <w:rPr>
          <w:rStyle w:val="17"/>
          <w:rFonts w:hint="eastAsia"/>
          <w:bCs/>
          <w:kern w:val="44"/>
        </w:rPr>
        <w:t>四部分</w:t>
      </w:r>
      <w:r>
        <w:rPr>
          <w:rStyle w:val="17"/>
          <w:bCs/>
          <w:kern w:val="44"/>
        </w:rPr>
        <w:t xml:space="preserve"> </w:t>
      </w:r>
      <w:r>
        <w:rPr>
          <w:rStyle w:val="17"/>
          <w:rFonts w:hint="eastAsia"/>
          <w:bCs/>
          <w:kern w:val="44"/>
        </w:rPr>
        <w:t>附件</w:t>
      </w:r>
      <w:r>
        <w:rPr>
          <w:rStyle w:val="17"/>
          <w:rFonts w:hint="eastAsia"/>
          <w:bCs/>
          <w:kern w:val="44"/>
        </w:rPr>
        <w:fldChar w:fldCharType="end"/>
      </w:r>
    </w:p>
    <w:p>
      <w:pPr>
        <w:pStyle w:val="12"/>
        <w:rPr>
          <w:rFonts w:ascii="仿宋" w:hAnsi="仿宋" w:eastAsia="仿宋" w:cstheme="minorBidi"/>
          <w:sz w:val="28"/>
          <w:szCs w:val="28"/>
        </w:rPr>
      </w:pPr>
      <w:r>
        <w:fldChar w:fldCharType="begin"/>
      </w:r>
      <w:r>
        <w:instrText xml:space="preserve"> HYPERLINK \l "_Toc15396615" </w:instrText>
      </w:r>
      <w:r>
        <w:fldChar w:fldCharType="separate"/>
      </w:r>
      <w:r>
        <w:rPr>
          <w:rStyle w:val="17"/>
          <w:rFonts w:hint="eastAsia" w:ascii="仿宋" w:hAnsi="仿宋" w:eastAsia="仿宋"/>
          <w:kern w:val="44"/>
          <w:sz w:val="28"/>
          <w:szCs w:val="28"/>
        </w:rPr>
        <w:t>附件</w:t>
      </w:r>
      <w:r>
        <w:rPr>
          <w:rStyle w:val="17"/>
          <w:rFonts w:ascii="仿宋" w:hAnsi="仿宋" w:eastAsia="仿宋"/>
          <w:kern w:val="44"/>
          <w:sz w:val="28"/>
          <w:szCs w:val="28"/>
        </w:rPr>
        <w:t>1</w:t>
      </w:r>
      <w:r>
        <w:rPr>
          <w:rStyle w:val="17"/>
          <w:rFonts w:ascii="仿宋" w:hAnsi="仿宋" w:eastAsia="仿宋"/>
          <w:kern w:val="44"/>
          <w:sz w:val="28"/>
          <w:szCs w:val="28"/>
        </w:rPr>
        <w:fldChar w:fldCharType="end"/>
      </w:r>
    </w:p>
    <w:p>
      <w:pPr>
        <w:pStyle w:val="11"/>
        <w:jc w:val="both"/>
        <w:rPr>
          <w:rFonts w:cstheme="minorBidi"/>
        </w:rPr>
      </w:pPr>
      <w:r>
        <w:fldChar w:fldCharType="begin"/>
      </w:r>
      <w:r>
        <w:instrText xml:space="preserve"> HYPERLINK \l "_Toc15396618" </w:instrText>
      </w:r>
      <w:r>
        <w:fldChar w:fldCharType="separate"/>
      </w:r>
      <w:r>
        <w:rPr>
          <w:rStyle w:val="17"/>
          <w:rFonts w:hint="eastAsia"/>
        </w:rPr>
        <w:t>第</w:t>
      </w:r>
      <w:r>
        <w:rPr>
          <w:rStyle w:val="17"/>
          <w:rFonts w:hint="eastAsia"/>
          <w:bCs/>
          <w:kern w:val="44"/>
        </w:rPr>
        <w:t>五部分</w:t>
      </w:r>
      <w:r>
        <w:rPr>
          <w:rStyle w:val="17"/>
          <w:bCs/>
          <w:kern w:val="44"/>
        </w:rPr>
        <w:t xml:space="preserve"> </w:t>
      </w:r>
      <w:r>
        <w:rPr>
          <w:rStyle w:val="17"/>
          <w:rFonts w:hint="eastAsia"/>
          <w:bCs/>
          <w:kern w:val="44"/>
        </w:rPr>
        <w:t>附表</w:t>
      </w:r>
      <w:r>
        <w:rPr>
          <w:rStyle w:val="17"/>
          <w:rFonts w:hint="eastAsia"/>
          <w:bCs/>
          <w:kern w:val="44"/>
        </w:rPr>
        <w:fldChar w:fldCharType="end"/>
      </w:r>
    </w:p>
    <w:p>
      <w:pPr>
        <w:pStyle w:val="12"/>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7"/>
          <w:rFonts w:hint="eastAsia" w:ascii="仿宋" w:hAnsi="仿宋" w:eastAsia="仿宋"/>
          <w:sz w:val="28"/>
          <w:szCs w:val="28"/>
        </w:rPr>
        <w:t>收入支出决算总表</w:t>
      </w:r>
      <w:r>
        <w:rPr>
          <w:rStyle w:val="17"/>
          <w:rFonts w:hint="eastAsia" w:ascii="仿宋" w:hAnsi="仿宋" w:eastAsia="仿宋"/>
          <w:sz w:val="28"/>
          <w:szCs w:val="28"/>
        </w:rPr>
        <w:fldChar w:fldCharType="end"/>
      </w:r>
    </w:p>
    <w:p>
      <w:pPr>
        <w:pStyle w:val="12"/>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7"/>
          <w:rFonts w:hint="eastAsia" w:ascii="仿宋" w:hAnsi="仿宋" w:eastAsia="仿宋"/>
          <w:sz w:val="28"/>
          <w:szCs w:val="28"/>
        </w:rPr>
        <w:t>收入总表</w:t>
      </w:r>
      <w:r>
        <w:rPr>
          <w:rStyle w:val="17"/>
          <w:rFonts w:hint="eastAsia" w:ascii="仿宋" w:hAnsi="仿宋" w:eastAsia="仿宋"/>
          <w:sz w:val="28"/>
          <w:szCs w:val="28"/>
        </w:rPr>
        <w:fldChar w:fldCharType="end"/>
      </w:r>
    </w:p>
    <w:p>
      <w:pPr>
        <w:pStyle w:val="12"/>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7"/>
          <w:rFonts w:hint="eastAsia" w:ascii="仿宋" w:hAnsi="仿宋" w:eastAsia="仿宋"/>
          <w:sz w:val="28"/>
          <w:szCs w:val="28"/>
        </w:rPr>
        <w:t>支出总表</w:t>
      </w:r>
      <w:r>
        <w:rPr>
          <w:rStyle w:val="17"/>
          <w:rFonts w:hint="eastAsia" w:ascii="仿宋" w:hAnsi="仿宋" w:eastAsia="仿宋"/>
          <w:sz w:val="28"/>
          <w:szCs w:val="28"/>
        </w:rPr>
        <w:fldChar w:fldCharType="end"/>
      </w:r>
    </w:p>
    <w:p>
      <w:pPr>
        <w:pStyle w:val="12"/>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7"/>
          <w:rFonts w:hint="eastAsia" w:ascii="仿宋" w:hAnsi="仿宋" w:eastAsia="仿宋"/>
          <w:sz w:val="28"/>
          <w:szCs w:val="28"/>
        </w:rPr>
        <w:t>财政拨款收入支出决算总表</w:t>
      </w:r>
      <w:r>
        <w:rPr>
          <w:rStyle w:val="17"/>
          <w:rFonts w:hint="eastAsia" w:ascii="仿宋" w:hAnsi="仿宋" w:eastAsia="仿宋"/>
          <w:sz w:val="28"/>
          <w:szCs w:val="28"/>
        </w:rPr>
        <w:fldChar w:fldCharType="end"/>
      </w:r>
    </w:p>
    <w:p>
      <w:pPr>
        <w:pStyle w:val="12"/>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hint="eastAsia" w:ascii="仿宋" w:hAnsi="仿宋" w:eastAsia="仿宋"/>
          <w:sz w:val="28"/>
          <w:szCs w:val="28"/>
        </w:rPr>
        <w:fldChar w:fldCharType="end"/>
      </w:r>
    </w:p>
    <w:p>
      <w:pPr>
        <w:pStyle w:val="12"/>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7"/>
          <w:rFonts w:hint="eastAsia" w:ascii="仿宋" w:hAnsi="仿宋" w:eastAsia="仿宋"/>
          <w:sz w:val="28"/>
          <w:szCs w:val="28"/>
        </w:rPr>
        <w:t>一般公共预算财政拨款支出决算表</w:t>
      </w:r>
      <w:r>
        <w:rPr>
          <w:rStyle w:val="17"/>
          <w:rFonts w:hint="eastAsia" w:ascii="仿宋" w:hAnsi="仿宋" w:eastAsia="仿宋"/>
          <w:sz w:val="28"/>
          <w:szCs w:val="28"/>
        </w:rPr>
        <w:fldChar w:fldCharType="end"/>
      </w:r>
    </w:p>
    <w:p>
      <w:pPr>
        <w:pStyle w:val="12"/>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7"/>
          <w:rFonts w:hint="eastAsia" w:ascii="仿宋" w:hAnsi="仿宋" w:eastAsia="仿宋"/>
          <w:sz w:val="28"/>
          <w:szCs w:val="28"/>
        </w:rPr>
        <w:t>一般公共预算财政拨款支出决算明细表</w:t>
      </w:r>
      <w:r>
        <w:rPr>
          <w:rStyle w:val="17"/>
          <w:rFonts w:hint="eastAsia" w:ascii="仿宋" w:hAnsi="仿宋" w:eastAsia="仿宋"/>
          <w:sz w:val="28"/>
          <w:szCs w:val="28"/>
        </w:rPr>
        <w:fldChar w:fldCharType="end"/>
      </w:r>
    </w:p>
    <w:p>
      <w:pPr>
        <w:pStyle w:val="12"/>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7"/>
          <w:rFonts w:hint="eastAsia" w:ascii="仿宋" w:hAnsi="仿宋" w:eastAsia="仿宋"/>
          <w:sz w:val="28"/>
          <w:szCs w:val="28"/>
        </w:rPr>
        <w:t>一般公共预算财政拨款基本支出决算表</w:t>
      </w:r>
      <w:r>
        <w:rPr>
          <w:rStyle w:val="17"/>
          <w:rFonts w:hint="eastAsia" w:ascii="仿宋" w:hAnsi="仿宋" w:eastAsia="仿宋"/>
          <w:sz w:val="28"/>
          <w:szCs w:val="28"/>
        </w:rPr>
        <w:fldChar w:fldCharType="end"/>
      </w:r>
    </w:p>
    <w:p>
      <w:pPr>
        <w:pStyle w:val="12"/>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7"/>
          <w:rFonts w:hint="eastAsia" w:ascii="仿宋" w:hAnsi="仿宋" w:eastAsia="仿宋"/>
          <w:sz w:val="28"/>
          <w:szCs w:val="28"/>
        </w:rPr>
        <w:t>一般公共预算财政拨款项目支出决算表</w:t>
      </w:r>
      <w:r>
        <w:rPr>
          <w:rStyle w:val="17"/>
          <w:rFonts w:hint="eastAsia" w:ascii="仿宋" w:hAnsi="仿宋" w:eastAsia="仿宋"/>
          <w:sz w:val="28"/>
          <w:szCs w:val="28"/>
        </w:rPr>
        <w:fldChar w:fldCharType="end"/>
      </w:r>
    </w:p>
    <w:p>
      <w:pPr>
        <w:pStyle w:val="12"/>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7"/>
          <w:rFonts w:hint="eastAsia" w:ascii="仿宋" w:hAnsi="仿宋" w:eastAsia="仿宋"/>
          <w:sz w:val="28"/>
          <w:szCs w:val="28"/>
        </w:rPr>
        <w:t>一般公共预算财政拨款“三公”经费支出决算表</w:t>
      </w:r>
      <w:r>
        <w:rPr>
          <w:rStyle w:val="17"/>
          <w:rFonts w:hint="eastAsia" w:ascii="仿宋" w:hAnsi="仿宋" w:eastAsia="仿宋"/>
          <w:sz w:val="28"/>
          <w:szCs w:val="28"/>
        </w:rPr>
        <w:fldChar w:fldCharType="end"/>
      </w:r>
    </w:p>
    <w:p>
      <w:pPr>
        <w:pStyle w:val="12"/>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7"/>
          <w:rFonts w:hint="eastAsia" w:ascii="仿宋" w:hAnsi="仿宋" w:eastAsia="仿宋"/>
          <w:sz w:val="28"/>
          <w:szCs w:val="28"/>
        </w:rPr>
        <w:t>政府性基金预算财政拨款收入支出决算表</w:t>
      </w:r>
      <w:r>
        <w:rPr>
          <w:rStyle w:val="17"/>
          <w:rFonts w:hint="eastAsia" w:ascii="仿宋" w:hAnsi="仿宋" w:eastAsia="仿宋"/>
          <w:sz w:val="28"/>
          <w:szCs w:val="28"/>
        </w:rPr>
        <w:fldChar w:fldCharType="end"/>
      </w:r>
    </w:p>
    <w:p>
      <w:pPr>
        <w:pStyle w:val="12"/>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7"/>
          <w:rFonts w:hint="eastAsia" w:ascii="仿宋" w:hAnsi="仿宋" w:eastAsia="仿宋"/>
          <w:sz w:val="28"/>
          <w:szCs w:val="28"/>
        </w:rPr>
        <w:t>政府性基金预算财政拨款“三公”经费支出决算表</w:t>
      </w:r>
      <w:r>
        <w:rPr>
          <w:rStyle w:val="17"/>
          <w:rFonts w:hint="eastAsia" w:ascii="仿宋" w:hAnsi="仿宋" w:eastAsia="仿宋"/>
          <w:sz w:val="28"/>
          <w:szCs w:val="28"/>
        </w:rPr>
        <w:fldChar w:fldCharType="end"/>
      </w:r>
    </w:p>
    <w:p>
      <w:pPr>
        <w:pStyle w:val="12"/>
        <w:rPr>
          <w:rFonts w:ascii="仿宋" w:hAnsi="仿宋" w:eastAsia="仿宋" w:cstheme="minorBidi"/>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7"/>
          <w:rFonts w:hint="eastAsia" w:ascii="仿宋" w:hAnsi="仿宋" w:eastAsia="仿宋"/>
          <w:sz w:val="28"/>
          <w:szCs w:val="28"/>
        </w:rPr>
        <w:t>国有资本经营预算支出决算表</w:t>
      </w:r>
      <w:r>
        <w:rPr>
          <w:rStyle w:val="17"/>
          <w:rFonts w:hint="eastAsia" w:ascii="仿宋" w:hAnsi="仿宋" w:eastAsia="仿宋"/>
          <w:sz w:val="28"/>
          <w:szCs w:val="28"/>
        </w:rPr>
        <w:fldChar w:fldCharType="end"/>
      </w:r>
    </w:p>
    <w:p>
      <w:pPr>
        <w:widowControl/>
        <w:jc w:val="left"/>
        <w:rPr>
          <w:rFonts w:ascii="仿宋" w:hAnsi="仿宋" w:eastAsia="仿宋"/>
          <w:color w:val="000000"/>
          <w:sz w:val="24"/>
        </w:rPr>
      </w:pPr>
      <w:r>
        <w:rPr>
          <w:rFonts w:ascii="仿宋" w:hAnsi="仿宋" w:eastAsia="仿宋"/>
          <w:color w:val="000000"/>
          <w:sz w:val="24"/>
        </w:rPr>
        <w:fldChar w:fldCharType="end"/>
      </w:r>
    </w:p>
    <w:p>
      <w:pPr>
        <w:widowControl/>
        <w:jc w:val="left"/>
        <w:rPr>
          <w:rFonts w:ascii="黑体" w:hAnsi="黑体" w:eastAsia="黑体"/>
          <w:bCs/>
          <w:kern w:val="44"/>
          <w:sz w:val="44"/>
          <w:szCs w:val="44"/>
        </w:rPr>
      </w:pPr>
      <w:bookmarkStart w:id="12" w:name="_Toc15377196"/>
      <w:bookmarkStart w:id="13" w:name="_Toc15396599"/>
      <w:r>
        <w:rPr>
          <w:rFonts w:ascii="黑体" w:hAnsi="黑体" w:eastAsia="黑体"/>
          <w:b/>
        </w:rPr>
        <w:br w:type="page"/>
      </w:r>
    </w:p>
    <w:p>
      <w:pPr>
        <w:pStyle w:val="3"/>
        <w:jc w:val="center"/>
        <w:rPr>
          <w:rStyle w:val="26"/>
          <w:rFonts w:ascii="黑体" w:hAnsi="黑体" w:eastAsia="黑体"/>
          <w:b/>
          <w:bCs w:val="0"/>
        </w:rPr>
      </w:pPr>
      <w:r>
        <w:rPr>
          <w:rFonts w:hint="eastAsia" w:ascii="黑体" w:hAnsi="黑体" w:eastAsia="黑体"/>
          <w:b w:val="0"/>
        </w:rPr>
        <w:t xml:space="preserve">第一部分 </w:t>
      </w:r>
      <w:r>
        <w:rPr>
          <w:rStyle w:val="26"/>
          <w:rFonts w:hint="eastAsia" w:ascii="黑体" w:hAnsi="黑体" w:eastAsia="黑体"/>
          <w:b w:val="0"/>
          <w:bCs w:val="0"/>
        </w:rPr>
        <w:t>部门概况</w:t>
      </w:r>
      <w:bookmarkEnd w:id="12"/>
      <w:bookmarkEnd w:id="13"/>
    </w:p>
    <w:p>
      <w:pPr>
        <w:pStyle w:val="4"/>
        <w:ind w:firstLine="960" w:firstLineChars="300"/>
        <w:rPr>
          <w:rStyle w:val="27"/>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7"/>
          <w:rFonts w:hint="eastAsia" w:ascii="黑体" w:hAnsi="黑体" w:eastAsia="黑体"/>
          <w:b w:val="0"/>
          <w:bCs w:val="0"/>
        </w:rPr>
        <w:t>本职能及主要工作</w:t>
      </w:r>
      <w:bookmarkEnd w:id="14"/>
      <w:bookmarkEnd w:id="15"/>
    </w:p>
    <w:p>
      <w:pPr>
        <w:widowControl/>
        <w:spacing w:line="600" w:lineRule="exact"/>
        <w:ind w:firstLine="640" w:firstLineChars="200"/>
        <w:jc w:val="left"/>
        <w:rPr>
          <w:rFonts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bookmarkStart w:id="18" w:name="_Toc15377199"/>
      <w:bookmarkStart w:id="19" w:name="_Toc15378446"/>
    </w:p>
    <w:p>
      <w:pPr>
        <w:widowControl/>
        <w:spacing w:line="600" w:lineRule="exact"/>
        <w:ind w:firstLine="640" w:firstLineChars="200"/>
        <w:jc w:val="left"/>
        <w:rPr>
          <w:rFonts w:ascii="仿宋_GB2312" w:eastAsia="仿宋_GB2312"/>
          <w:color w:val="000000"/>
          <w:kern w:val="0"/>
          <w:sz w:val="32"/>
          <w:szCs w:val="32"/>
        </w:rPr>
      </w:pPr>
      <w:r>
        <w:rPr>
          <w:rFonts w:hint="eastAsia" w:ascii="仿宋_GB2312" w:eastAsia="仿宋_GB2312"/>
          <w:kern w:val="0"/>
          <w:sz w:val="32"/>
          <w:szCs w:val="32"/>
        </w:rPr>
        <w:t>根据中共阿坝州委办公室《关于印发〈阿坝州总工会机关机构改革方案〉的通知》（阿委办发[2002]4号）文件规定，主要职责是：一是贯彻执行党的路线、方针、政策，根据州委、省总工会的部署和，结合我州实际，确定工会工作的指导思想、目标和任务，领导全州工会工作，为基层工会开展工作营造外部环境；二是进一步突出和履行维护职工合法权益的职能；三是指导各级工会组织开展以职工代表大会为基本制度的民主选举、民主决策、民主管理和民主监督工作；四是推动工会组织建立平等协商、集体合同制度和监督保证机制；五是协助州政府做好劳动模范的推荐评选和管理工作，协助省总做好劳动模范、“五一劳动奖章”、“五一劳动奖状”获得者的管理工作。</w:t>
      </w:r>
    </w:p>
    <w:p>
      <w:pPr>
        <w:spacing w:line="576" w:lineRule="exact"/>
        <w:ind w:firstLine="643" w:firstLineChars="200"/>
        <w:rPr>
          <w:rFonts w:ascii="仿宋" w:hAnsi="仿宋" w:eastAsia="仿宋"/>
          <w:b/>
          <w:bCs/>
          <w:color w:val="000000"/>
          <w:sz w:val="32"/>
          <w:szCs w:val="32"/>
        </w:rPr>
      </w:pPr>
      <w:r>
        <w:rPr>
          <w:rFonts w:hint="eastAsia" w:ascii="仿宋" w:hAnsi="仿宋" w:eastAsia="仿宋"/>
          <w:b/>
          <w:bCs/>
          <w:color w:val="000000"/>
          <w:sz w:val="32"/>
          <w:szCs w:val="32"/>
        </w:rPr>
        <w:t>（二）</w:t>
      </w:r>
      <w:r>
        <w:rPr>
          <w:rFonts w:ascii="仿宋" w:hAnsi="仿宋" w:eastAsia="仿宋"/>
          <w:b/>
          <w:bCs/>
          <w:color w:val="000000"/>
          <w:sz w:val="32"/>
          <w:szCs w:val="32"/>
        </w:rPr>
        <w:t>201</w:t>
      </w:r>
      <w:r>
        <w:rPr>
          <w:rFonts w:hint="eastAsia" w:ascii="仿宋" w:hAnsi="仿宋" w:eastAsia="仿宋"/>
          <w:b/>
          <w:bCs/>
          <w:color w:val="000000"/>
          <w:sz w:val="32"/>
          <w:szCs w:val="32"/>
        </w:rPr>
        <w:t>9年重点工作完成情况。</w:t>
      </w:r>
      <w:bookmarkEnd w:id="18"/>
      <w:bookmarkEnd w:id="19"/>
    </w:p>
    <w:p>
      <w:pPr>
        <w:pStyle w:val="2"/>
        <w:ind w:firstLine="790" w:firstLineChars="246"/>
        <w:rPr>
          <w:rFonts w:ascii="仿宋" w:hAnsi="仿宋" w:eastAsia="仿宋"/>
          <w:sz w:val="32"/>
          <w:szCs w:val="32"/>
        </w:rPr>
      </w:pPr>
      <w:r>
        <w:rPr>
          <w:rFonts w:hint="eastAsia" w:asciiTheme="majorEastAsia" w:hAnsiTheme="majorEastAsia" w:eastAsiaTheme="majorEastAsia"/>
          <w:b/>
          <w:sz w:val="32"/>
          <w:szCs w:val="32"/>
        </w:rPr>
        <w:t>1、切实维护职工合法权益。</w:t>
      </w:r>
      <w:r>
        <w:rPr>
          <w:rFonts w:hint="eastAsia" w:ascii="仿宋" w:hAnsi="仿宋" w:eastAsia="仿宋"/>
          <w:sz w:val="32"/>
          <w:szCs w:val="32"/>
        </w:rPr>
        <w:t>一是积极开展“关爱农民工 协商促和谐”集中要约活动，共发出要约并回应企业241家，覆盖农民工8125人，进一步巩固了集体协商建制成果。二是畅通职工（农民工）诉求渠道，建立健全职工信访工作机制，有效处置职工信访件，今年共接到并办结2件职工信访案件，为51名职工（农民工）解决拖欠工资39余万元。三是加强职工网络舆情监控和处理，妥善应对职工特别是农民工利益的网络舆情，并按时反馈舆情处理结果，今年共接到和办结1件职工网络舆情案件，为17名职工（农民工）解决拖欠工资19余万元。四是认真落实中央、省委、州委关于农民工工作要求，参与制定我州《加强农民工服务保障工作实施方案》等文件，切实做好农民工慰问探望、维权服务、素质提升、生活救助等重点工作，全州各级工会累计开展慰问探望川籍农民工活动16次，召开返乡座谈会3场，慰问州籍农民工711名，发放慰问金23万余元，寄出慰问信件近1千封。</w:t>
      </w:r>
    </w:p>
    <w:p>
      <w:pPr>
        <w:pStyle w:val="2"/>
        <w:ind w:firstLine="790" w:firstLineChars="246"/>
        <w:rPr>
          <w:rFonts w:ascii="仿宋" w:hAnsi="仿宋" w:eastAsia="仿宋"/>
          <w:sz w:val="32"/>
          <w:szCs w:val="32"/>
        </w:rPr>
      </w:pPr>
      <w:r>
        <w:rPr>
          <w:rFonts w:hint="eastAsia" w:asciiTheme="majorEastAsia" w:hAnsiTheme="majorEastAsia" w:eastAsiaTheme="majorEastAsia"/>
          <w:b/>
          <w:sz w:val="32"/>
          <w:szCs w:val="32"/>
        </w:rPr>
        <w:t>2、加大困难职工帮扶力度。</w:t>
      </w:r>
      <w:r>
        <w:rPr>
          <w:rFonts w:hint="eastAsia" w:ascii="仿宋" w:hAnsi="仿宋" w:eastAsia="仿宋"/>
          <w:sz w:val="32"/>
          <w:szCs w:val="32"/>
        </w:rPr>
        <w:t>一是大力推进帮扶工作项目化运作，下拨帮扶资金272.67万元，帮扶困难职工（农民工）1323人次。二是深化“四季送”活动，为6785人次提供就业服务，创业促就业带动就业2070人次，为182人提供技能培训；筹集送清凉资金87.8385万元，走访慰问职工9085人次；筹集金秋助学资金35.41万元，帮助286名困难职工（农民工）子女圆了求学梦；筹集送温暖资金51.63余万元，走访慰问困难职工572户。三是不断扩大女职工大病互助保险和职工住院医疗互助保险覆盖面，参保职工分别新增212人和3581人，为16名女职工兑付大病互助保险金23万元，为359名职工兑付住院互助保险金近15万元。</w:t>
      </w:r>
    </w:p>
    <w:p>
      <w:pPr>
        <w:pStyle w:val="2"/>
        <w:ind w:firstLine="948" w:firstLineChars="295"/>
        <w:rPr>
          <w:rFonts w:ascii="仿宋" w:hAnsi="仿宋" w:eastAsia="仿宋"/>
          <w:sz w:val="32"/>
          <w:szCs w:val="32"/>
        </w:rPr>
      </w:pPr>
      <w:r>
        <w:rPr>
          <w:rFonts w:hint="eastAsia" w:asciiTheme="majorEastAsia" w:hAnsiTheme="majorEastAsia" w:eastAsiaTheme="majorEastAsia"/>
          <w:b/>
          <w:sz w:val="32"/>
          <w:szCs w:val="32"/>
        </w:rPr>
        <w:t>3、着力做好劳模服务工作。</w:t>
      </w:r>
      <w:r>
        <w:rPr>
          <w:rFonts w:hint="eastAsia" w:ascii="仿宋" w:hAnsi="仿宋" w:eastAsia="仿宋"/>
          <w:sz w:val="32"/>
          <w:szCs w:val="32"/>
        </w:rPr>
        <w:t>一是关心关爱各级劳模，开展“劳模关爱周”活动，共走访慰问劳模269名，为全州367名省部级劳模、224名州级劳模发放慰问金71.54万元；集中组织全国、省级劳模195人开展健康体检；发放省部级劳模各类补助资金共计45.48万元，帮扶劳模87人次；开展“五一” 困难劳模走访慰问活动，共慰问各级困难劳模41人，发放慰问金8.2万。二是大力开展创先争优活动，全州受表彰全国五一劳动奖章1个、四川省五一劳动奖章1个、四川省五一劳动奖状1个、四川省工人先锋号2个。三是组织州级劳模60人分两批次赴浙江省总工会工人疗养院开展疗休养活动，组织省部级以上劳模19人参加全总、省总疗休养活动。</w:t>
      </w:r>
    </w:p>
    <w:p>
      <w:pPr>
        <w:pStyle w:val="2"/>
        <w:ind w:firstLine="790" w:firstLineChars="246"/>
        <w:rPr>
          <w:rFonts w:ascii="仿宋" w:hAnsi="仿宋" w:eastAsia="仿宋"/>
          <w:sz w:val="32"/>
          <w:szCs w:val="32"/>
        </w:rPr>
      </w:pPr>
      <w:r>
        <w:rPr>
          <w:rFonts w:hint="eastAsia" w:asciiTheme="majorEastAsia" w:hAnsiTheme="majorEastAsia" w:eastAsiaTheme="majorEastAsia"/>
          <w:b/>
          <w:sz w:val="32"/>
          <w:szCs w:val="32"/>
        </w:rPr>
        <w:t>4、推动会员服务普惠化。</w:t>
      </w:r>
      <w:r>
        <w:rPr>
          <w:rFonts w:hint="eastAsia" w:ascii="仿宋" w:hAnsi="仿宋" w:eastAsia="仿宋"/>
          <w:sz w:val="32"/>
          <w:szCs w:val="32"/>
        </w:rPr>
        <w:t>深入推进工会会员普惠性服务工作，加快建设“一库一网一卡”，全力做好工会会员信息实名制采集工作，共采集会员实名制信息62941人。立足工会职能定位和会员需求，与邮储银行阿坝州分行、邮政公司阿坝州分公司建立工会会员普惠性服务合作机制，做好全省“普惠加油”项目、“普惠保险”活动，做细做实地方9元系列活动、优惠购书、优惠购物活动，累计发放工会会员卡19775张，有效拓展了服务职工新渠道，延伸了工会服务职工触角。</w:t>
      </w:r>
    </w:p>
    <w:p>
      <w:pPr>
        <w:pStyle w:val="2"/>
        <w:ind w:firstLine="790" w:firstLineChars="246"/>
        <w:rPr>
          <w:rFonts w:asciiTheme="majorEastAsia" w:hAnsiTheme="majorEastAsia" w:eastAsiaTheme="majorEastAsia"/>
          <w:b/>
          <w:sz w:val="32"/>
          <w:szCs w:val="32"/>
        </w:rPr>
      </w:pPr>
    </w:p>
    <w:p>
      <w:pPr>
        <w:pStyle w:val="2"/>
        <w:ind w:firstLine="790" w:firstLineChars="246"/>
        <w:rPr>
          <w:rFonts w:ascii="仿宋" w:hAnsi="仿宋" w:eastAsia="仿宋"/>
          <w:sz w:val="32"/>
          <w:szCs w:val="32"/>
        </w:rPr>
      </w:pPr>
      <w:r>
        <w:rPr>
          <w:rFonts w:hint="eastAsia" w:asciiTheme="majorEastAsia" w:hAnsiTheme="majorEastAsia" w:eastAsiaTheme="majorEastAsia"/>
          <w:b/>
          <w:sz w:val="32"/>
          <w:szCs w:val="32"/>
        </w:rPr>
        <w:t>5、做好脱贫攻坚和“两联一进”工作。</w:t>
      </w:r>
      <w:r>
        <w:rPr>
          <w:rFonts w:hint="eastAsia" w:ascii="仿宋" w:hAnsi="仿宋" w:eastAsia="仿宋"/>
          <w:sz w:val="32"/>
          <w:szCs w:val="32"/>
        </w:rPr>
        <w:t>一是扎实做好工会对口帮扶点脱贫攻坚工作，领导班子成员多次深入彭坝村，采取定期召开工作协调会、召集村干部会议、入户调查、个别走访以及指导春耕备耕、防范地质灾害等形式，收集村民反映的生产生活等方面的困难和问题7条。为进一步做好精准脱贫工作提供了强有力的保障。二是扎实推进“两联一进”工作，前后10余次组织和动员机关全体干部职工组成工作组赴若尔盖县、阿坝县开展“两联一进”工作，全面了解群众所思所盼，切实帮助群众解决实际问题。</w:t>
      </w:r>
    </w:p>
    <w:p>
      <w:pPr>
        <w:pStyle w:val="2"/>
        <w:ind w:firstLine="790" w:firstLineChars="246"/>
        <w:rPr>
          <w:rFonts w:ascii="仿宋" w:hAnsi="仿宋" w:eastAsia="仿宋"/>
          <w:sz w:val="32"/>
          <w:szCs w:val="32"/>
        </w:rPr>
      </w:pPr>
      <w:r>
        <w:rPr>
          <w:rFonts w:hint="eastAsia" w:asciiTheme="majorEastAsia" w:hAnsiTheme="majorEastAsia" w:eastAsiaTheme="majorEastAsia"/>
          <w:b/>
          <w:sz w:val="32"/>
          <w:szCs w:val="32"/>
        </w:rPr>
        <w:t>6、协助组织并积极参与"群心向党.礼赞祖国阿坝州民族团结暨群众文化季活动。</w:t>
      </w:r>
      <w:r>
        <w:rPr>
          <w:rFonts w:hint="eastAsia" w:ascii="仿宋" w:hAnsi="仿宋" w:eastAsia="仿宋"/>
          <w:sz w:val="32"/>
          <w:szCs w:val="32"/>
        </w:rPr>
        <w:t>为庆祝中华人民共和国成立70周年，深入推进“我和我的祖国”群众性主题宣传教育活动，根据州委州政府决策部署，由州委宣传部、州文化体育和旅游局、州总工会、共青团州委、州妇联、州科协、州残联、州红十字会、州文联、州社科联共同承办“群心向党</w:t>
      </w:r>
      <w:r>
        <w:rPr>
          <w:rFonts w:hint="eastAsia" w:ascii="宋体" w:hAnsi="宋体" w:cs="宋体"/>
          <w:sz w:val="32"/>
          <w:szCs w:val="32"/>
        </w:rPr>
        <w:t>•</w:t>
      </w:r>
      <w:r>
        <w:rPr>
          <w:rFonts w:hint="eastAsia" w:ascii="仿宋" w:hAnsi="仿宋" w:eastAsia="仿宋" w:cs="仿宋"/>
          <w:sz w:val="32"/>
          <w:szCs w:val="32"/>
        </w:rPr>
        <w:t>礼赞祖国”阿坝州民族团结暨群众文化季活动。此次活动由</w:t>
      </w:r>
      <w:r>
        <w:rPr>
          <w:rFonts w:hint="eastAsia" w:ascii="仿宋" w:hAnsi="仿宋" w:eastAsia="仿宋"/>
          <w:sz w:val="32"/>
          <w:szCs w:val="32"/>
        </w:rPr>
        <w:t>13县（市）群众文化周、“群心向党</w:t>
      </w:r>
      <w:r>
        <w:rPr>
          <w:rFonts w:hint="eastAsia" w:ascii="宋体" w:hAnsi="宋体" w:cs="宋体"/>
          <w:sz w:val="32"/>
          <w:szCs w:val="32"/>
        </w:rPr>
        <w:t>•</w:t>
      </w:r>
      <w:r>
        <w:rPr>
          <w:rFonts w:hint="eastAsia" w:ascii="仿宋" w:hAnsi="仿宋" w:eastAsia="仿宋" w:cs="仿宋"/>
          <w:sz w:val="32"/>
          <w:szCs w:val="32"/>
        </w:rPr>
        <w:t>礼赞祖国”专场晚会、“净</w:t>
      </w:r>
      <w:r>
        <w:rPr>
          <w:rFonts w:hint="eastAsia" w:ascii="仿宋" w:hAnsi="仿宋" w:eastAsia="仿宋"/>
          <w:sz w:val="32"/>
          <w:szCs w:val="32"/>
        </w:rPr>
        <w:t>土群星</w:t>
      </w:r>
      <w:r>
        <w:rPr>
          <w:rFonts w:hint="eastAsia" w:ascii="宋体" w:hAnsi="宋体" w:cs="宋体"/>
          <w:sz w:val="32"/>
          <w:szCs w:val="32"/>
        </w:rPr>
        <w:t>•</w:t>
      </w:r>
      <w:r>
        <w:rPr>
          <w:rFonts w:hint="eastAsia" w:ascii="仿宋" w:hAnsi="仿宋" w:eastAsia="仿宋" w:cs="仿宋"/>
          <w:sz w:val="32"/>
          <w:szCs w:val="32"/>
        </w:rPr>
        <w:t>创梦之光”创新创业成果交流展示、民族团结群众性精品文艺节目展演和“走基层感恩回馈巡演”</w:t>
      </w:r>
      <w:r>
        <w:rPr>
          <w:rFonts w:hint="eastAsia" w:ascii="仿宋" w:hAnsi="仿宋" w:eastAsia="仿宋"/>
          <w:sz w:val="32"/>
          <w:szCs w:val="32"/>
        </w:rPr>
        <w:t>5个板块组成，做到了政治性、先进性、群众性的统一，活动取得了圆满成功。</w:t>
      </w:r>
    </w:p>
    <w:p>
      <w:pPr>
        <w:pStyle w:val="4"/>
        <w:ind w:firstLine="640" w:firstLineChars="200"/>
        <w:rPr>
          <w:rStyle w:val="27"/>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7"/>
          <w:rFonts w:hint="eastAsia" w:ascii="黑体" w:hAnsi="黑体" w:eastAsia="黑体"/>
          <w:b w:val="0"/>
          <w:bCs w:val="0"/>
        </w:rPr>
        <w:t>构设置</w:t>
      </w:r>
      <w:bookmarkEnd w:id="20"/>
      <w:bookmarkEnd w:id="21"/>
    </w:p>
    <w:p>
      <w:pPr>
        <w:pStyle w:val="6"/>
        <w:adjustRightInd w:val="0"/>
        <w:snapToGrid w:val="0"/>
        <w:spacing w:before="93" w:line="600" w:lineRule="exact"/>
        <w:ind w:firstLine="640" w:firstLineChars="200"/>
        <w:rPr>
          <w:color w:val="000000"/>
          <w:sz w:val="32"/>
          <w:szCs w:val="32"/>
        </w:rPr>
      </w:pPr>
      <w:bookmarkStart w:id="22" w:name="_Toc15377204"/>
      <w:bookmarkStart w:id="23" w:name="_Toc15396602"/>
      <w:r>
        <w:rPr>
          <w:color w:val="000000"/>
          <w:sz w:val="32"/>
          <w:szCs w:val="32"/>
        </w:rPr>
        <w:t>本部门下属</w:t>
      </w:r>
      <w:r>
        <w:rPr>
          <w:rFonts w:hint="eastAsia"/>
          <w:color w:val="000000"/>
          <w:sz w:val="32"/>
          <w:szCs w:val="32"/>
        </w:rPr>
        <w:t>无</w:t>
      </w:r>
      <w:r>
        <w:rPr>
          <w:color w:val="000000"/>
          <w:sz w:val="32"/>
          <w:szCs w:val="32"/>
        </w:rPr>
        <w:t>二级预算</w:t>
      </w:r>
      <w:r>
        <w:rPr>
          <w:rFonts w:hint="eastAsia"/>
          <w:color w:val="000000"/>
          <w:sz w:val="32"/>
          <w:szCs w:val="32"/>
        </w:rPr>
        <w:t>单位</w:t>
      </w:r>
      <w:r>
        <w:rPr>
          <w:color w:val="000000"/>
          <w:sz w:val="32"/>
          <w:szCs w:val="32"/>
        </w:rPr>
        <w:t xml:space="preserve"> </w:t>
      </w:r>
      <w:r>
        <w:rPr>
          <w:rFonts w:hint="eastAsia"/>
          <w:color w:val="000000"/>
          <w:sz w:val="32"/>
          <w:szCs w:val="32"/>
        </w:rPr>
        <w:t>，其中内设机构7个</w:t>
      </w:r>
    </w:p>
    <w:p>
      <w:pPr>
        <w:pStyle w:val="3"/>
        <w:ind w:right="440"/>
        <w:jc w:val="right"/>
        <w:rPr>
          <w:rFonts w:ascii="黑体" w:hAnsi="黑体" w:eastAsia="黑体"/>
          <w:b w:val="0"/>
          <w:bCs w:val="0"/>
        </w:rPr>
      </w:pPr>
      <w:r>
        <w:rPr>
          <w:rFonts w:hint="eastAsia" w:ascii="黑体" w:hAnsi="黑体" w:eastAsia="黑体"/>
          <w:b w:val="0"/>
        </w:rPr>
        <w:t>第二部分</w:t>
      </w:r>
      <w:r>
        <w:rPr>
          <w:rFonts w:hint="eastAsia" w:ascii="黑体" w:hAnsi="黑体" w:eastAsia="黑体"/>
        </w:rPr>
        <w:t xml:space="preserve"> </w:t>
      </w:r>
      <w:r>
        <w:rPr>
          <w:rStyle w:val="26"/>
          <w:rFonts w:hint="eastAsia" w:ascii="黑体" w:hAnsi="黑体" w:eastAsia="黑体"/>
          <w:b w:val="0"/>
          <w:bCs w:val="0"/>
        </w:rPr>
        <w:t>2019年度部门决算情况说明</w:t>
      </w:r>
      <w:bookmarkEnd w:id="22"/>
      <w:bookmarkEnd w:id="23"/>
    </w:p>
    <w:p>
      <w:pPr>
        <w:pStyle w:val="25"/>
        <w:numPr>
          <w:ilvl w:val="0"/>
          <w:numId w:val="1"/>
        </w:numPr>
        <w:spacing w:line="600" w:lineRule="exact"/>
        <w:ind w:firstLineChars="0"/>
        <w:outlineLvl w:val="1"/>
        <w:rPr>
          <w:rStyle w:val="27"/>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7"/>
          <w:rFonts w:hint="eastAsia" w:ascii="黑体" w:hAnsi="黑体" w:eastAsia="黑体"/>
          <w:b w:val="0"/>
        </w:rPr>
        <w:t>入支出决算总体情况说明</w:t>
      </w:r>
      <w:bookmarkEnd w:id="24"/>
      <w:bookmarkEnd w:id="25"/>
    </w:p>
    <w:p>
      <w:pPr>
        <w:spacing w:line="600" w:lineRule="exact"/>
        <w:ind w:firstLine="640" w:firstLineChars="200"/>
        <w:rPr>
          <w:rStyle w:val="27"/>
          <w:rFonts w:ascii="仿宋" w:hAnsi="仿宋" w:eastAsia="仿宋" w:cs="Times New Roman"/>
          <w:b w:val="0"/>
          <w:bCs w:val="0"/>
        </w:rPr>
      </w:pPr>
      <w:r>
        <w:rPr>
          <w:rFonts w:ascii="仿宋_GB2312" w:eastAsia="仿宋_GB2312"/>
          <w:color w:val="000000"/>
          <w:sz w:val="32"/>
          <w:szCs w:val="32"/>
        </w:rPr>
        <w:pict>
          <v:shape id="_x0000_s1026" o:spid="_x0000_s1026" o:spt="75" type="#_x0000_t75" style="position:absolute;left:0pt;margin-left:3.85pt;margin-top:159.65pt;height:132.75pt;width:399.05pt;mso-wrap-distance-bottom:0pt;mso-wrap-distance-left:9pt;mso-wrap-distance-right:9pt;mso-wrap-distance-top:0pt;z-index:251662336;mso-width-relative:page;mso-height-relative:page;" o:ole="t" filled="f" o:preferrelative="t" stroked="f" coordsize="21600,21600">
            <v:path/>
            <v:fill on="f" focussize="0,0"/>
            <v:stroke on="f" joinstyle="miter"/>
            <v:imagedata r:id="rId7" o:title=""/>
            <o:lock v:ext="edit" aspectratio="t"/>
            <w10:wrap type="square" side="right"/>
          </v:shape>
          <o:OLEObject Type="Embed" ProgID="MSGraph.Chart.8" ShapeID="_x0000_s1026" DrawAspect="Content" ObjectID="_1468075725" r:id="rId6">
            <o:LockedField>false</o:LockedField>
          </o:OLEObject>
        </w:pict>
      </w:r>
      <w:r>
        <w:rPr>
          <w:rFonts w:hint="eastAsia" w:ascii="仿宋" w:hAnsi="仿宋" w:eastAsia="仿宋"/>
          <w:color w:val="000000"/>
          <w:sz w:val="32"/>
          <w:szCs w:val="32"/>
        </w:rPr>
        <w:t>2019年度收入决算决计2080.12万元、支出决算总计2161.12万元。与2018年相比，收入决算增加31.45万元，增长1.54</w:t>
      </w:r>
      <w:r>
        <w:rPr>
          <w:rFonts w:ascii="仿宋" w:hAnsi="仿宋" w:eastAsia="仿宋"/>
          <w:color w:val="000000"/>
          <w:sz w:val="32"/>
          <w:szCs w:val="32"/>
        </w:rPr>
        <w:t>%</w:t>
      </w:r>
      <w:r>
        <w:rPr>
          <w:rFonts w:hint="eastAsia" w:ascii="仿宋" w:hAnsi="仿宋" w:eastAsia="仿宋"/>
          <w:color w:val="000000"/>
          <w:sz w:val="32"/>
          <w:szCs w:val="32"/>
        </w:rPr>
        <w:t>、支出决算增加110.3万元，增长5.38%。</w:t>
      </w:r>
      <w:r>
        <w:rPr>
          <w:rFonts w:hint="eastAsia" w:ascii="仿宋" w:hAnsi="仿宋" w:eastAsia="仿宋"/>
          <w:sz w:val="32"/>
          <w:szCs w:val="32"/>
        </w:rPr>
        <w:t>主要变动原因是：财政代扣工会经费增加；人员工资调增。</w:t>
      </w:r>
    </w:p>
    <w:p>
      <w:pPr>
        <w:spacing w:line="600" w:lineRule="exact"/>
        <w:outlineLvl w:val="1"/>
        <w:rPr>
          <w:rStyle w:val="27"/>
          <w:rFonts w:ascii="黑体" w:hAnsi="黑体" w:eastAsia="黑体"/>
          <w:b w:val="0"/>
        </w:rPr>
      </w:pPr>
    </w:p>
    <w:p>
      <w:pPr>
        <w:spacing w:line="600" w:lineRule="exact"/>
        <w:ind w:firstLine="640" w:firstLineChars="200"/>
        <w:outlineLvl w:val="1"/>
        <w:rPr>
          <w:rFonts w:ascii="黑体" w:hAnsi="黑体" w:eastAsia="黑体"/>
          <w:color w:val="000000"/>
          <w:sz w:val="32"/>
          <w:szCs w:val="32"/>
        </w:rPr>
      </w:pPr>
    </w:p>
    <w:p>
      <w:pPr>
        <w:spacing w:line="600" w:lineRule="exact"/>
        <w:ind w:firstLine="640" w:firstLineChars="200"/>
        <w:outlineLvl w:val="1"/>
        <w:rPr>
          <w:rFonts w:ascii="黑体" w:hAnsi="黑体" w:eastAsia="黑体"/>
          <w:color w:val="000000"/>
          <w:sz w:val="32"/>
          <w:szCs w:val="32"/>
        </w:rPr>
      </w:pPr>
    </w:p>
    <w:p>
      <w:pPr>
        <w:spacing w:line="600" w:lineRule="exact"/>
        <w:ind w:firstLine="640" w:firstLineChars="200"/>
        <w:outlineLvl w:val="1"/>
        <w:rPr>
          <w:rFonts w:ascii="黑体" w:hAnsi="黑体" w:eastAsia="黑体"/>
          <w:bCs/>
          <w:color w:val="000000"/>
          <w:sz w:val="32"/>
          <w:szCs w:val="32"/>
        </w:rPr>
      </w:pPr>
      <w:r>
        <w:rPr>
          <w:rFonts w:hint="eastAsia" w:ascii="黑体" w:hAnsi="黑体" w:eastAsia="黑体"/>
          <w:color w:val="000000"/>
          <w:sz w:val="32"/>
          <w:szCs w:val="32"/>
        </w:rPr>
        <w:t>二、收</w:t>
      </w:r>
      <w:r>
        <w:rPr>
          <w:rFonts w:hint="eastAsia" w:ascii="黑体" w:hAnsi="黑体" w:eastAsia="黑体"/>
          <w:b/>
          <w:bCs/>
          <w:color w:val="000000"/>
          <w:sz w:val="32"/>
          <w:szCs w:val="32"/>
        </w:rPr>
        <w:t>入决算情况说明</w:t>
      </w: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9年本年收入合计2080.12万元，其中：一般公共预算财政拨款收入2080.12万元，占100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；国有资本经营预算财政拨款收入0万元，占0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3" w:firstLineChars="200"/>
        <w:rPr>
          <w:rStyle w:val="27"/>
          <w:rFonts w:ascii="黑体" w:hAnsi="黑体" w:eastAsia="黑体"/>
          <w:b w:val="0"/>
        </w:rPr>
      </w:pPr>
      <w:r>
        <w:rPr>
          <w:rFonts w:ascii="仿宋_GB2312" w:eastAsia="仿宋_GB2312"/>
          <w:b/>
          <w:bCs/>
          <w:color w:val="000000"/>
          <w:sz w:val="32"/>
          <w:szCs w:val="32"/>
        </w:rPr>
        <w:pict>
          <v:shape id="对象 4" o:spid="_x0000_s1029" o:spt="75" type="#_x0000_t75" style="position:absolute;left:0pt;margin-left:1.5pt;margin-top:1.35pt;height:126.7pt;width:388.45pt;mso-wrap-distance-bottom:0pt;mso-wrap-distance-left:9pt;mso-wrap-distance-right:9pt;mso-wrap-distance-top:0pt;z-index:251668480;mso-width-relative:page;mso-height-relative:page;" o:ole="t" filled="f" o:preferrelative="t" stroked="f" coordsize="21600,21600">
            <v:path/>
            <v:fill on="f" focussize="0,0"/>
            <v:stroke on="f" joinstyle="miter"/>
            <v:imagedata r:id="rId9" o:title=""/>
            <o:lock v:ext="edit" aspectratio="t"/>
            <w10:wrap type="square" side="right"/>
          </v:shape>
          <o:OLEObject Type="Embed" ProgID="MSGraph.Chart.8" ShapeID="对象 4" DrawAspect="Content" ObjectID="_1468075726" r:id="rId8">
            <o:LockedField>false</o:LockedField>
          </o:OLEObject>
        </w:pict>
      </w:r>
      <w:bookmarkStart w:id="26" w:name="_Toc15396605"/>
      <w:bookmarkStart w:id="27" w:name="_Toc15377207"/>
      <w:r>
        <w:rPr>
          <w:rFonts w:hint="eastAsia" w:ascii="仿宋_GB2312" w:eastAsia="仿宋_GB2312"/>
          <w:b/>
          <w:bCs/>
          <w:color w:val="000000"/>
          <w:sz w:val="32"/>
          <w:szCs w:val="32"/>
        </w:rPr>
        <w:t>三</w:t>
      </w:r>
      <w:r>
        <w:rPr>
          <w:rFonts w:hint="eastAsia" w:ascii="仿宋_GB2312" w:eastAsia="仿宋_GB2312"/>
          <w:color w:val="000000"/>
          <w:sz w:val="32"/>
          <w:szCs w:val="32"/>
        </w:rPr>
        <w:t>、</w:t>
      </w:r>
      <w:r>
        <w:rPr>
          <w:rFonts w:hint="eastAsia" w:ascii="黑体" w:hAnsi="黑体" w:eastAsia="黑体"/>
          <w:color w:val="000000"/>
          <w:sz w:val="32"/>
          <w:szCs w:val="32"/>
        </w:rPr>
        <w:t>支</w:t>
      </w:r>
      <w:r>
        <w:rPr>
          <w:rStyle w:val="27"/>
          <w:rFonts w:hint="eastAsia" w:ascii="黑体" w:hAnsi="黑体" w:eastAsia="黑体"/>
          <w:b w:val="0"/>
        </w:rPr>
        <w:t>出决算情况说明</w:t>
      </w:r>
      <w:bookmarkEnd w:id="26"/>
      <w:bookmarkEnd w:id="27"/>
    </w:p>
    <w:p>
      <w:pPr>
        <w:spacing w:line="600" w:lineRule="exact"/>
        <w:ind w:firstLine="640"/>
        <w:rPr>
          <w:rFonts w:ascii="仿宋" w:hAnsi="仿宋" w:eastAsia="仿宋"/>
          <w:sz w:val="32"/>
          <w:szCs w:val="32"/>
          <w:shd w:val="pct10" w:color="auto" w:fill="FFFFFF"/>
        </w:rPr>
      </w:pPr>
      <w:r>
        <w:rPr>
          <w:rFonts w:ascii="仿宋" w:hAnsi="仿宋" w:eastAsia="仿宋"/>
          <w:color w:val="000000"/>
          <w:sz w:val="32"/>
          <w:szCs w:val="32"/>
        </w:rPr>
        <w:t>201</w:t>
      </w:r>
      <w:r>
        <w:rPr>
          <w:rFonts w:hint="eastAsia" w:ascii="仿宋" w:hAnsi="仿宋" w:eastAsia="仿宋"/>
          <w:color w:val="000000"/>
          <w:sz w:val="32"/>
          <w:szCs w:val="32"/>
        </w:rPr>
        <w:t>9年本年支出合计2161.12万元，</w:t>
      </w:r>
      <w:r>
        <w:rPr>
          <w:rFonts w:hint="eastAsia" w:ascii="仿宋" w:hAnsi="仿宋" w:eastAsia="仿宋"/>
          <w:sz w:val="32"/>
          <w:szCs w:val="32"/>
        </w:rPr>
        <w:t>其中：基本支出408.76万元，占18.91</w:t>
      </w:r>
      <w:r>
        <w:rPr>
          <w:rFonts w:ascii="仿宋" w:hAnsi="仿宋" w:eastAsia="仿宋"/>
          <w:sz w:val="32"/>
          <w:szCs w:val="32"/>
        </w:rPr>
        <w:t>%</w:t>
      </w:r>
      <w:r>
        <w:rPr>
          <w:rFonts w:hint="eastAsia" w:ascii="仿宋" w:hAnsi="仿宋" w:eastAsia="仿宋"/>
          <w:sz w:val="32"/>
          <w:szCs w:val="32"/>
        </w:rPr>
        <w:t>；项目支出1752.36万元，占81.09</w:t>
      </w:r>
      <w:r>
        <w:rPr>
          <w:rFonts w:ascii="仿宋" w:hAnsi="仿宋" w:eastAsia="仿宋"/>
          <w:sz w:val="32"/>
          <w:szCs w:val="32"/>
        </w:rPr>
        <w:t>%</w:t>
      </w:r>
      <w:r>
        <w:rPr>
          <w:rFonts w:hint="eastAsia" w:ascii="仿宋" w:hAnsi="仿宋" w:eastAsia="仿宋"/>
          <w:sz w:val="32"/>
          <w:szCs w:val="32"/>
        </w:rPr>
        <w:t>；上缴上级支出0万元，占0</w:t>
      </w:r>
      <w:r>
        <w:rPr>
          <w:rFonts w:ascii="仿宋" w:hAnsi="仿宋" w:eastAsia="仿宋"/>
          <w:sz w:val="32"/>
          <w:szCs w:val="32"/>
        </w:rPr>
        <w:t>%</w:t>
      </w:r>
      <w:r>
        <w:rPr>
          <w:rFonts w:hint="eastAsia" w:ascii="仿宋" w:hAnsi="仿宋" w:eastAsia="仿宋"/>
          <w:sz w:val="32"/>
          <w:szCs w:val="32"/>
        </w:rPr>
        <w:t>；经营支出0万元，占0</w:t>
      </w:r>
      <w:r>
        <w:rPr>
          <w:rFonts w:ascii="仿宋" w:hAnsi="仿宋" w:eastAsia="仿宋"/>
          <w:sz w:val="32"/>
          <w:szCs w:val="32"/>
        </w:rPr>
        <w:t>%</w:t>
      </w:r>
      <w:r>
        <w:rPr>
          <w:rFonts w:hint="eastAsia" w:ascii="仿宋" w:hAnsi="仿宋" w:eastAsia="仿宋"/>
          <w:sz w:val="32"/>
          <w:szCs w:val="32"/>
        </w:rPr>
        <w:t>；对附属单位补助支出0万元，占0</w:t>
      </w:r>
      <w:r>
        <w:rPr>
          <w:rFonts w:ascii="仿宋" w:hAnsi="仿宋" w:eastAsia="仿宋"/>
          <w:sz w:val="32"/>
          <w:szCs w:val="32"/>
        </w:rPr>
        <w:t>%</w:t>
      </w:r>
      <w:r>
        <w:rPr>
          <w:rFonts w:hint="eastAsia" w:ascii="仿宋" w:hAnsi="仿宋" w:eastAsia="仿宋"/>
          <w:color w:val="000000" w:themeColor="text1"/>
          <w:sz w:val="32"/>
          <w:szCs w:val="32"/>
        </w:rPr>
        <w:t>。图</w:t>
      </w:r>
    </w:p>
    <w:p>
      <w:pPr>
        <w:spacing w:line="600" w:lineRule="exact"/>
        <w:ind w:firstLine="643" w:firstLineChars="200"/>
        <w:outlineLvl w:val="1"/>
        <w:rPr>
          <w:rFonts w:ascii="黑体" w:hAnsi="黑体" w:eastAsia="黑体"/>
          <w:color w:val="000000"/>
          <w:sz w:val="32"/>
          <w:szCs w:val="32"/>
        </w:rPr>
      </w:pPr>
      <w:bookmarkStart w:id="28" w:name="_Toc15377208"/>
      <w:bookmarkStart w:id="29" w:name="_Toc15396606"/>
      <w:r>
        <w:rPr>
          <w:rFonts w:ascii="仿宋_GB2312" w:eastAsia="仿宋_GB2312"/>
          <w:b/>
          <w:bCs/>
          <w:color w:val="000000"/>
          <w:sz w:val="32"/>
          <w:szCs w:val="32"/>
        </w:rPr>
        <w:pict>
          <v:shape id="_x0000_s1030" o:spid="_x0000_s1030" o:spt="75" type="#_x0000_t75" style="position:absolute;left:0pt;margin-left:1.5pt;margin-top:3.05pt;height:126.75pt;width:388.5pt;mso-wrap-distance-bottom:0pt;mso-wrap-distance-left:9pt;mso-wrap-distance-right:9pt;mso-wrap-distance-top:0pt;z-index:251679744;mso-width-relative:page;mso-height-relative:page;" o:ole="t" filled="f" o:preferrelative="t" stroked="f" coordsize="21600,21600">
            <v:path/>
            <v:fill on="f" focussize="0,0"/>
            <v:stroke on="f" joinstyle="miter"/>
            <v:imagedata r:id="rId11" o:title=""/>
            <o:lock v:ext="edit" aspectratio="t"/>
            <w10:wrap type="square" side="right"/>
          </v:shape>
          <o:OLEObject Type="Embed" ProgID="MSGraph.Chart.8" ShapeID="_x0000_s1030" DrawAspect="Content" ObjectID="_1468075727" r:id="rId10">
            <o:LockedField>false</o:LockedField>
          </o:OLEObject>
        </w:pict>
      </w:r>
    </w:p>
    <w:p>
      <w:pPr>
        <w:spacing w:line="600" w:lineRule="exact"/>
        <w:ind w:firstLine="640" w:firstLineChars="200"/>
        <w:outlineLvl w:val="1"/>
        <w:rPr>
          <w:rFonts w:ascii="黑体" w:hAnsi="黑体" w:eastAsia="黑体"/>
          <w:color w:val="000000"/>
          <w:sz w:val="32"/>
          <w:szCs w:val="32"/>
        </w:rPr>
      </w:pPr>
    </w:p>
    <w:p>
      <w:pPr>
        <w:spacing w:line="600" w:lineRule="exact"/>
        <w:ind w:firstLine="640" w:firstLineChars="200"/>
        <w:outlineLvl w:val="1"/>
        <w:rPr>
          <w:rFonts w:ascii="黑体" w:hAnsi="黑体" w:eastAsia="黑体"/>
          <w:color w:val="000000"/>
          <w:sz w:val="32"/>
          <w:szCs w:val="32"/>
        </w:rPr>
      </w:pPr>
    </w:p>
    <w:p>
      <w:pPr>
        <w:spacing w:line="600" w:lineRule="exact"/>
        <w:ind w:firstLine="640" w:firstLineChars="200"/>
        <w:outlineLvl w:val="1"/>
        <w:rPr>
          <w:rFonts w:ascii="黑体" w:hAnsi="黑体" w:eastAsia="黑体"/>
          <w:color w:val="000000"/>
          <w:sz w:val="32"/>
          <w:szCs w:val="32"/>
        </w:rPr>
      </w:pPr>
    </w:p>
    <w:p>
      <w:pPr>
        <w:spacing w:line="600" w:lineRule="exact"/>
        <w:ind w:firstLine="640" w:firstLineChars="200"/>
        <w:outlineLvl w:val="1"/>
        <w:rPr>
          <w:rFonts w:ascii="黑体" w:hAnsi="黑体" w:eastAsia="黑体"/>
          <w:color w:val="000000"/>
          <w:sz w:val="32"/>
          <w:szCs w:val="32"/>
        </w:rPr>
      </w:pPr>
    </w:p>
    <w:p>
      <w:pPr>
        <w:pStyle w:val="2"/>
        <w:rPr>
          <w:rStyle w:val="27"/>
          <w:rFonts w:ascii="黑体" w:hAnsi="黑体" w:eastAsia="黑体"/>
          <w:b w:val="0"/>
        </w:rPr>
      </w:pPr>
    </w:p>
    <w:p>
      <w:pPr>
        <w:spacing w:line="600" w:lineRule="exact"/>
        <w:ind w:firstLine="640" w:firstLineChars="200"/>
        <w:outlineLvl w:val="1"/>
        <w:rPr>
          <w:rFonts w:ascii="黑体" w:hAnsi="黑体" w:eastAsia="黑体"/>
          <w:color w:val="000000"/>
          <w:sz w:val="32"/>
          <w:szCs w:val="32"/>
        </w:rPr>
      </w:pPr>
    </w:p>
    <w:p>
      <w:pPr>
        <w:spacing w:line="600" w:lineRule="exact"/>
        <w:ind w:firstLine="640" w:firstLineChars="200"/>
        <w:outlineLvl w:val="1"/>
        <w:rPr>
          <w:rStyle w:val="27"/>
          <w:rFonts w:ascii="黑体" w:hAnsi="黑体" w:eastAsia="黑体"/>
          <w:b w:val="0"/>
        </w:rPr>
      </w:pPr>
      <w:r>
        <w:rPr>
          <w:rFonts w:hint="eastAsia" w:ascii="黑体" w:hAnsi="黑体" w:eastAsia="黑体"/>
          <w:color w:val="000000"/>
          <w:sz w:val="32"/>
          <w:szCs w:val="32"/>
        </w:rPr>
        <w:t>四、财</w:t>
      </w:r>
      <w:r>
        <w:rPr>
          <w:rStyle w:val="27"/>
          <w:rFonts w:hint="eastAsia" w:ascii="黑体" w:hAnsi="黑体" w:eastAsia="黑体"/>
          <w:b w:val="0"/>
        </w:rPr>
        <w:t>政拨款收入支出决算总体情况说明</w:t>
      </w:r>
      <w:bookmarkEnd w:id="28"/>
      <w:bookmarkEnd w:id="29"/>
    </w:p>
    <w:p>
      <w:pPr>
        <w:spacing w:line="600" w:lineRule="exact"/>
        <w:ind w:firstLine="640" w:firstLineChars="200"/>
        <w:rPr>
          <w:rFonts w:ascii="仿宋" w:hAnsi="仿宋" w:eastAsia="仿宋"/>
          <w:sz w:val="32"/>
          <w:szCs w:val="32"/>
        </w:rPr>
      </w:pPr>
      <w:r>
        <w:rPr>
          <w:rFonts w:ascii="仿宋_GB2312" w:eastAsia="仿宋_GB2312"/>
          <w:color w:val="000000"/>
          <w:sz w:val="32"/>
          <w:szCs w:val="32"/>
        </w:rPr>
        <w:pict>
          <v:shape id="_x0000_s1031" o:spid="_x0000_s1031" o:spt="75" type="#_x0000_t75" style="position:absolute;left:0pt;margin-left:3.85pt;margin-top:159.65pt;height:132.95pt;width:400pt;mso-wrap-distance-bottom:0pt;mso-wrap-distance-left:9pt;mso-wrap-distance-right:9pt;mso-wrap-distance-top:0pt;z-index:251684864;mso-width-relative:page;mso-height-relative:page;" o:ole="t" filled="f" o:preferrelative="t" stroked="f" coordsize="21600,21600">
            <v:path/>
            <v:fill on="f" focussize="0,0"/>
            <v:stroke on="f" joinstyle="miter"/>
            <v:imagedata r:id="rId13" o:title=""/>
            <o:lock v:ext="edit" aspectratio="t"/>
            <w10:wrap type="square" side="right"/>
          </v:shape>
          <o:OLEObject Type="Embed" ProgID="MSGraph.Chart.8" ShapeID="_x0000_s1031" DrawAspect="Content" ObjectID="_1468075728" r:id="rId12">
            <o:LockedField>false</o:LockedField>
          </o:OLEObject>
        </w:pict>
      </w:r>
      <w:r>
        <w:rPr>
          <w:rFonts w:hint="eastAsia" w:ascii="仿宋" w:hAnsi="仿宋" w:eastAsia="仿宋"/>
          <w:color w:val="000000"/>
          <w:sz w:val="32"/>
          <w:szCs w:val="32"/>
        </w:rPr>
        <w:t>2019年度财政拨款收入决算决计2080.12万元、财政拨款支出决算总计2161.12万元。与2018年相比，收入决算增加31.45万元，增长1.54</w:t>
      </w:r>
      <w:r>
        <w:rPr>
          <w:rFonts w:ascii="仿宋" w:hAnsi="仿宋" w:eastAsia="仿宋"/>
          <w:color w:val="000000"/>
          <w:sz w:val="32"/>
          <w:szCs w:val="32"/>
        </w:rPr>
        <w:t>%</w:t>
      </w:r>
      <w:r>
        <w:rPr>
          <w:rFonts w:hint="eastAsia" w:ascii="仿宋" w:hAnsi="仿宋" w:eastAsia="仿宋"/>
          <w:color w:val="000000"/>
          <w:sz w:val="32"/>
          <w:szCs w:val="32"/>
        </w:rPr>
        <w:t>、支出决算增加110.3万元，增长5.38%。</w:t>
      </w:r>
      <w:r>
        <w:rPr>
          <w:rFonts w:hint="eastAsia" w:ascii="仿宋" w:hAnsi="仿宋" w:eastAsia="仿宋"/>
          <w:sz w:val="32"/>
          <w:szCs w:val="32"/>
        </w:rPr>
        <w:t>主要变动原因是：财政代扣工会经费增加；人员工资调整。</w:t>
      </w:r>
    </w:p>
    <w:p>
      <w:pPr>
        <w:spacing w:line="600" w:lineRule="exact"/>
        <w:ind w:firstLine="640" w:firstLineChars="200"/>
        <w:outlineLvl w:val="1"/>
        <w:rPr>
          <w:rStyle w:val="27"/>
          <w:rFonts w:ascii="黑体" w:hAnsi="黑体" w:eastAsia="黑体"/>
          <w:b w:val="0"/>
        </w:rPr>
      </w:pPr>
      <w:bookmarkStart w:id="30" w:name="_Toc15396607"/>
      <w:bookmarkStart w:id="31"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7"/>
          <w:rFonts w:hint="eastAsia" w:ascii="黑体" w:hAnsi="黑体" w:eastAsia="黑体"/>
          <w:b w:val="0"/>
        </w:rPr>
        <w:t>般公共预算财政拨款支出决算情况说明</w:t>
      </w:r>
      <w:bookmarkEnd w:id="30"/>
      <w:bookmarkEnd w:id="31"/>
    </w:p>
    <w:p>
      <w:pPr>
        <w:spacing w:line="600" w:lineRule="exact"/>
        <w:ind w:firstLine="643" w:firstLineChars="200"/>
        <w:outlineLvl w:val="2"/>
        <w:rPr>
          <w:rFonts w:ascii="仿宋" w:hAnsi="仿宋" w:eastAsia="仿宋"/>
          <w:b/>
          <w:color w:val="000000"/>
          <w:sz w:val="32"/>
          <w:szCs w:val="32"/>
        </w:rPr>
      </w:pPr>
      <w:bookmarkStart w:id="32" w:name="_Toc15377210"/>
      <w:r>
        <w:rPr>
          <w:rFonts w:hint="eastAsia" w:ascii="仿宋" w:hAnsi="仿宋" w:eastAsia="仿宋"/>
          <w:b/>
          <w:color w:val="000000"/>
          <w:sz w:val="32"/>
          <w:szCs w:val="32"/>
        </w:rPr>
        <w:t>（一）一般公共预算财政拨款支出决算总体情况</w:t>
      </w:r>
      <w:bookmarkEnd w:id="32"/>
    </w:p>
    <w:p>
      <w:pPr>
        <w:spacing w:line="600" w:lineRule="exact"/>
        <w:ind w:firstLine="640" w:firstLineChars="200"/>
        <w:rPr>
          <w:rFonts w:ascii="仿宋" w:hAnsi="仿宋" w:eastAsia="仿宋"/>
          <w:sz w:val="32"/>
          <w:szCs w:val="32"/>
        </w:rPr>
      </w:pPr>
      <w:r>
        <w:rPr>
          <w:rFonts w:ascii="仿宋_GB2312" w:eastAsia="仿宋_GB2312"/>
          <w:color w:val="000000"/>
          <w:sz w:val="32"/>
          <w:szCs w:val="32"/>
        </w:rPr>
        <w:pict>
          <v:shape id="_x0000_s1032" o:spid="_x0000_s1032" o:spt="75" type="#_x0000_t75" style="position:absolute;left:0pt;margin-left:-14.15pt;margin-top:119.25pt;height:132.95pt;width:400pt;mso-wrap-distance-bottom:0pt;mso-wrap-distance-left:9pt;mso-wrap-distance-right:9pt;mso-wrap-distance-top:0pt;z-index:251712512;mso-width-relative:page;mso-height-relative:page;" o:ole="t" filled="f" o:preferrelative="t" stroked="f" coordsize="21600,21600">
            <v:path/>
            <v:fill on="f" focussize="0,0"/>
            <v:stroke on="f" joinstyle="miter"/>
            <v:imagedata r:id="rId15" o:title=""/>
            <o:lock v:ext="edit" aspectratio="t"/>
            <w10:wrap type="square" side="right"/>
          </v:shape>
          <o:OLEObject Type="Embed" ProgID="MSGraph.Chart.8" ShapeID="_x0000_s1032" DrawAspect="Content" ObjectID="_1468075729" r:id="rId14">
            <o:LockedField>false</o:LockedField>
          </o:OLEObject>
        </w:pict>
      </w:r>
      <w:r>
        <w:rPr>
          <w:rFonts w:ascii="仿宋" w:hAnsi="仿宋" w:eastAsia="仿宋"/>
          <w:color w:val="000000"/>
          <w:sz w:val="32"/>
          <w:szCs w:val="32"/>
        </w:rPr>
        <w:t>201</w:t>
      </w:r>
      <w:r>
        <w:rPr>
          <w:rFonts w:hint="eastAsia" w:ascii="仿宋" w:hAnsi="仿宋" w:eastAsia="仿宋"/>
          <w:color w:val="000000"/>
          <w:sz w:val="32"/>
          <w:szCs w:val="32"/>
        </w:rPr>
        <w:t>9年一般公共预算财政拨款支出2161.12万元，占本年支出合计的100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8年相比，一般公共预算财政拨款增加110.3万元，增长5.48</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sz w:val="32"/>
          <w:szCs w:val="32"/>
        </w:rPr>
        <w:t>主要变动原因是财政代扣</w:t>
      </w: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pStyle w:val="2"/>
      </w:pPr>
    </w:p>
    <w:p>
      <w:pPr>
        <w:pStyle w:val="2"/>
      </w:pPr>
    </w:p>
    <w:p>
      <w:pPr>
        <w:pStyle w:val="2"/>
      </w:pPr>
    </w:p>
    <w:p>
      <w:pPr>
        <w:pStyle w:val="2"/>
      </w:pPr>
    </w:p>
    <w:p>
      <w:pPr>
        <w:spacing w:line="600" w:lineRule="exact"/>
        <w:ind w:firstLine="640" w:firstLineChars="200"/>
        <w:rPr>
          <w:rFonts w:ascii="仿宋" w:hAnsi="仿宋" w:eastAsia="仿宋"/>
          <w:color w:val="FF0000"/>
          <w:sz w:val="32"/>
          <w:szCs w:val="32"/>
        </w:rPr>
      </w:pPr>
      <w:r>
        <w:rPr>
          <w:rFonts w:hint="eastAsia" w:ascii="仿宋" w:hAnsi="仿宋" w:eastAsia="仿宋"/>
          <w:sz w:val="32"/>
          <w:szCs w:val="32"/>
        </w:rPr>
        <w:t>工会经费逐年递增；人员工资的调整</w:t>
      </w:r>
    </w:p>
    <w:p>
      <w:pPr>
        <w:spacing w:line="600" w:lineRule="exact"/>
        <w:ind w:firstLine="643" w:firstLineChars="200"/>
        <w:outlineLvl w:val="2"/>
        <w:rPr>
          <w:rFonts w:ascii="仿宋" w:hAnsi="仿宋" w:eastAsia="仿宋"/>
          <w:b/>
          <w:color w:val="000000"/>
          <w:sz w:val="32"/>
          <w:szCs w:val="32"/>
        </w:rPr>
      </w:pPr>
      <w:bookmarkStart w:id="33" w:name="_Toc15377211"/>
      <w:r>
        <w:rPr>
          <w:rFonts w:hint="eastAsia" w:ascii="仿宋" w:hAnsi="仿宋" w:eastAsia="仿宋"/>
          <w:b/>
          <w:color w:val="000000"/>
          <w:sz w:val="32"/>
          <w:szCs w:val="32"/>
        </w:rPr>
        <w:t>（二）一般公共预算财政拨款支出决算结构情况</w:t>
      </w:r>
      <w:bookmarkEnd w:id="33"/>
    </w:p>
    <w:p>
      <w:pPr>
        <w:spacing w:line="360" w:lineRule="auto"/>
        <w:ind w:firstLine="640"/>
        <w:rPr>
          <w:rFonts w:ascii="仿宋" w:hAnsi="仿宋" w:eastAsia="仿宋"/>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政拨款支出2161.12万元，</w:t>
      </w:r>
      <w:r>
        <w:rPr>
          <w:rFonts w:hint="eastAsia" w:ascii="仿宋" w:hAnsi="仿宋" w:eastAsia="仿宋"/>
          <w:sz w:val="32"/>
          <w:szCs w:val="32"/>
        </w:rPr>
        <w:t>主要用于以下方面</w:t>
      </w:r>
      <w:r>
        <w:rPr>
          <w:rFonts w:ascii="仿宋" w:hAnsi="仿宋" w:eastAsia="仿宋"/>
          <w:sz w:val="32"/>
          <w:szCs w:val="32"/>
        </w:rPr>
        <w:t>:</w:t>
      </w:r>
      <w:r>
        <w:rPr>
          <w:rFonts w:hint="eastAsia" w:ascii="仿宋" w:hAnsi="仿宋" w:eastAsia="仿宋"/>
          <w:b/>
          <w:sz w:val="32"/>
          <w:szCs w:val="32"/>
        </w:rPr>
        <w:t>一般公共服务（类）</w:t>
      </w:r>
      <w:r>
        <w:rPr>
          <w:rFonts w:hint="eastAsia" w:ascii="仿宋" w:hAnsi="仿宋" w:eastAsia="仿宋"/>
          <w:sz w:val="32"/>
          <w:szCs w:val="32"/>
        </w:rPr>
        <w:t>支出2076.37万元，占96.08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教育支出（类）</w:t>
      </w:r>
      <w:r>
        <w:rPr>
          <w:rFonts w:hint="eastAsia" w:ascii="仿宋" w:hAnsi="仿宋" w:eastAsia="仿宋"/>
          <w:sz w:val="32"/>
          <w:szCs w:val="32"/>
        </w:rPr>
        <w:t>0万元，占0%；</w:t>
      </w:r>
      <w:r>
        <w:rPr>
          <w:rFonts w:hint="eastAsia" w:ascii="仿宋" w:hAnsi="仿宋" w:eastAsia="仿宋"/>
          <w:b/>
          <w:sz w:val="32"/>
          <w:szCs w:val="32"/>
        </w:rPr>
        <w:t>科学技术（类）</w:t>
      </w:r>
      <w:r>
        <w:rPr>
          <w:rFonts w:hint="eastAsia" w:ascii="仿宋" w:hAnsi="仿宋" w:eastAsia="仿宋"/>
          <w:sz w:val="32"/>
          <w:szCs w:val="32"/>
        </w:rPr>
        <w:t>支出0万元，占0%；</w:t>
      </w:r>
      <w:r>
        <w:rPr>
          <w:rFonts w:hint="eastAsia" w:ascii="仿宋" w:hAnsi="仿宋" w:eastAsia="仿宋"/>
          <w:b/>
          <w:sz w:val="32"/>
          <w:szCs w:val="32"/>
        </w:rPr>
        <w:t>其他应急管理（类）</w:t>
      </w:r>
      <w:r>
        <w:rPr>
          <w:rFonts w:hint="eastAsia" w:ascii="仿宋" w:hAnsi="仿宋" w:eastAsia="仿宋"/>
          <w:sz w:val="32"/>
          <w:szCs w:val="32"/>
        </w:rPr>
        <w:t>支出0.6万元；</w:t>
      </w:r>
      <w:r>
        <w:rPr>
          <w:rFonts w:hint="eastAsia" w:ascii="仿宋" w:hAnsi="仿宋" w:eastAsia="仿宋"/>
          <w:b/>
          <w:sz w:val="32"/>
          <w:szCs w:val="32"/>
        </w:rPr>
        <w:t>社会保障和就业（类）</w:t>
      </w:r>
      <w:r>
        <w:rPr>
          <w:rFonts w:hint="eastAsia" w:ascii="仿宋" w:hAnsi="仿宋" w:eastAsia="仿宋"/>
          <w:sz w:val="32"/>
          <w:szCs w:val="32"/>
        </w:rPr>
        <w:t>支出39.16万元，占1.81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医疗卫生</w:t>
      </w:r>
      <w:r>
        <w:rPr>
          <w:rFonts w:hint="eastAsia" w:ascii="仿宋" w:hAnsi="仿宋" w:eastAsia="仿宋"/>
          <w:sz w:val="32"/>
          <w:szCs w:val="32"/>
        </w:rPr>
        <w:t>支出20.4万元，占0.94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住房保障</w:t>
      </w:r>
      <w:r>
        <w:rPr>
          <w:rFonts w:hint="eastAsia" w:ascii="仿宋" w:hAnsi="仿宋" w:eastAsia="仿宋"/>
          <w:sz w:val="32"/>
          <w:szCs w:val="32"/>
        </w:rPr>
        <w:t>支出24.59万元，占1.14</w:t>
      </w:r>
      <w:r>
        <w:rPr>
          <w:rFonts w:ascii="仿宋" w:hAnsi="仿宋" w:eastAsia="仿宋"/>
          <w:sz w:val="32"/>
          <w:szCs w:val="32"/>
        </w:rPr>
        <w:t>%</w:t>
      </w:r>
      <w:r>
        <w:rPr>
          <w:rFonts w:hint="eastAsia" w:ascii="仿宋" w:hAnsi="仿宋" w:eastAsia="仿宋"/>
          <w:sz w:val="32"/>
          <w:szCs w:val="32"/>
        </w:rPr>
        <w:t>。</w:t>
      </w:r>
    </w:p>
    <w:p>
      <w:pPr>
        <w:spacing w:line="600" w:lineRule="exact"/>
        <w:ind w:firstLine="643" w:firstLineChars="200"/>
        <w:outlineLvl w:val="2"/>
        <w:rPr>
          <w:rFonts w:ascii="仿宋" w:hAnsi="仿宋" w:eastAsia="仿宋"/>
          <w:b/>
          <w:color w:val="000000"/>
          <w:sz w:val="32"/>
          <w:szCs w:val="32"/>
        </w:rPr>
      </w:pPr>
      <w:bookmarkStart w:id="34" w:name="_Toc15377212"/>
      <w:r>
        <w:rPr>
          <w:rFonts w:ascii="仿宋_GB2312" w:eastAsia="仿宋_GB2312"/>
          <w:b/>
          <w:bCs/>
          <w:color w:val="000000"/>
          <w:sz w:val="32"/>
          <w:szCs w:val="32"/>
        </w:rPr>
        <w:pict>
          <v:shape id="_x0000_s1033" o:spid="_x0000_s1033" o:spt="75" type="#_x0000_t75" style="position:absolute;left:0pt;margin-left:5.25pt;margin-top:2.15pt;height:126.95pt;width:389.4pt;mso-wrap-distance-bottom:0pt;mso-wrap-distance-left:9pt;mso-wrap-distance-right:9pt;mso-wrap-distance-top:0pt;z-index:251735040;mso-width-relative:page;mso-height-relative:page;" o:ole="t" filled="f" o:preferrelative="t" stroked="f" coordsize="21600,21600">
            <v:path/>
            <v:fill on="f" focussize="0,0"/>
            <v:stroke on="f" joinstyle="miter"/>
            <v:imagedata r:id="rId17" o:title=""/>
            <o:lock v:ext="edit" aspectratio="t"/>
            <w10:wrap type="square" side="right"/>
          </v:shape>
          <o:OLEObject Type="Embed" ProgID="MSGraph.Chart.8" ShapeID="_x0000_s1033" DrawAspect="Content" ObjectID="_1468075730" r:id="rId16">
            <o:LockedField>false</o:LockedField>
          </o:OLEObject>
        </w:pict>
      </w:r>
      <w:r>
        <w:rPr>
          <w:rFonts w:hint="eastAsia" w:ascii="仿宋" w:hAnsi="仿宋" w:eastAsia="仿宋"/>
          <w:b/>
          <w:color w:val="000000"/>
          <w:sz w:val="32"/>
          <w:szCs w:val="32"/>
        </w:rPr>
        <w:t>（三）一般公共预算财政拨款支出决算具体情况</w:t>
      </w:r>
      <w:bookmarkEnd w:id="34"/>
    </w:p>
    <w:p>
      <w:pPr>
        <w:spacing w:line="600" w:lineRule="exact"/>
        <w:ind w:firstLine="643" w:firstLineChars="200"/>
        <w:outlineLvl w:val="2"/>
        <w:rPr>
          <w:rFonts w:ascii="仿宋" w:hAnsi="仿宋" w:eastAsia="仿宋"/>
          <w:color w:val="FF0000"/>
          <w:sz w:val="32"/>
          <w:szCs w:val="32"/>
        </w:rPr>
      </w:pPr>
      <w:bookmarkStart w:id="35" w:name="_Toc15377213"/>
      <w:bookmarkStart w:id="36" w:name="_Toc15378460"/>
      <w:bookmarkStart w:id="37" w:name="_Toc15377444"/>
      <w:r>
        <w:rPr>
          <w:rFonts w:hint="eastAsia" w:ascii="仿宋" w:hAnsi="仿宋" w:eastAsia="仿宋"/>
          <w:b/>
          <w:color w:val="000000" w:themeColor="text1"/>
          <w:sz w:val="32"/>
          <w:szCs w:val="32"/>
        </w:rPr>
        <w:t>2019年般公共预算支出决算数为2161.12万元</w:t>
      </w:r>
      <w:r>
        <w:rPr>
          <w:rFonts w:hint="eastAsia" w:ascii="仿宋" w:hAnsi="仿宋" w:eastAsia="仿宋"/>
          <w:color w:val="000000" w:themeColor="text1"/>
          <w:sz w:val="32"/>
          <w:szCs w:val="32"/>
        </w:rPr>
        <w:t>，</w:t>
      </w:r>
      <w:r>
        <w:rPr>
          <w:rStyle w:val="16"/>
          <w:rFonts w:hint="eastAsia" w:ascii="仿宋" w:hAnsi="仿宋" w:eastAsia="仿宋"/>
          <w:bCs/>
          <w:color w:val="000000" w:themeColor="text1"/>
          <w:sz w:val="32"/>
          <w:szCs w:val="32"/>
        </w:rPr>
        <w:t>完成</w:t>
      </w:r>
      <w:r>
        <w:rPr>
          <w:rStyle w:val="16"/>
          <w:rFonts w:hint="eastAsia" w:ascii="仿宋" w:hAnsi="仿宋" w:eastAsia="仿宋"/>
          <w:bCs/>
          <w:color w:val="000000"/>
          <w:sz w:val="32"/>
          <w:szCs w:val="32"/>
        </w:rPr>
        <w:t>预算100</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w:t>
      </w:r>
      <w:r>
        <w:rPr>
          <w:rStyle w:val="16"/>
          <w:rFonts w:hint="eastAsia" w:ascii="仿宋" w:hAnsi="仿宋" w:eastAsia="仿宋"/>
          <w:bCs/>
          <w:sz w:val="32"/>
          <w:szCs w:val="32"/>
        </w:rPr>
        <w:t>其中：</w:t>
      </w:r>
      <w:bookmarkEnd w:id="35"/>
      <w:bookmarkEnd w:id="36"/>
      <w:bookmarkEnd w:id="37"/>
    </w:p>
    <w:p>
      <w:pPr>
        <w:numPr>
          <w:ilvl w:val="0"/>
          <w:numId w:val="2"/>
        </w:numPr>
        <w:spacing w:line="600" w:lineRule="exact"/>
        <w:ind w:firstLine="643" w:firstLineChars="200"/>
        <w:rPr>
          <w:rStyle w:val="16"/>
          <w:rFonts w:ascii="仿宋" w:hAnsi="仿宋" w:eastAsia="仿宋"/>
          <w:b w:val="0"/>
          <w:bCs/>
          <w:color w:val="000000"/>
          <w:sz w:val="32"/>
          <w:szCs w:val="32"/>
        </w:rPr>
      </w:pPr>
      <w:r>
        <w:rPr>
          <w:rStyle w:val="16"/>
          <w:rFonts w:hint="eastAsia" w:ascii="仿宋" w:hAnsi="仿宋" w:eastAsia="仿宋"/>
          <w:bCs/>
          <w:color w:val="000000"/>
          <w:sz w:val="32"/>
          <w:szCs w:val="32"/>
        </w:rPr>
        <w:t>一般公共服务支出群众团体事务行政运行（2012901）</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支出决算为324.01万元，完成预算100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numPr>
          <w:ilvl w:val="0"/>
          <w:numId w:val="2"/>
        </w:numPr>
        <w:spacing w:line="600" w:lineRule="exact"/>
        <w:ind w:firstLine="643" w:firstLineChars="200"/>
        <w:rPr>
          <w:rStyle w:val="16"/>
          <w:rFonts w:ascii="仿宋" w:hAnsi="仿宋" w:eastAsia="仿宋"/>
          <w:b w:val="0"/>
          <w:bCs/>
          <w:color w:val="000000"/>
          <w:sz w:val="32"/>
          <w:szCs w:val="32"/>
        </w:rPr>
      </w:pPr>
      <w:r>
        <w:rPr>
          <w:rStyle w:val="16"/>
          <w:rFonts w:hint="eastAsia" w:ascii="仿宋" w:hAnsi="仿宋" w:eastAsia="仿宋"/>
          <w:bCs/>
          <w:color w:val="000000"/>
          <w:sz w:val="32"/>
          <w:szCs w:val="32"/>
        </w:rPr>
        <w:t>一般公共服务支出其他群众团体事务支出（2012999）</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支出决算为1752.36万元，完成预算100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spacing w:line="600" w:lineRule="exact"/>
        <w:ind w:firstLine="643" w:firstLineChars="200"/>
        <w:rPr>
          <w:rFonts w:ascii="仿宋" w:hAnsi="仿宋" w:eastAsia="仿宋"/>
          <w:b/>
          <w:sz w:val="32"/>
          <w:szCs w:val="32"/>
        </w:rPr>
      </w:pPr>
      <w:r>
        <w:rPr>
          <w:rStyle w:val="16"/>
          <w:rFonts w:hint="eastAsia" w:ascii="仿宋" w:hAnsi="仿宋" w:eastAsia="仿宋"/>
          <w:bCs/>
          <w:sz w:val="32"/>
          <w:szCs w:val="32"/>
        </w:rPr>
        <w:t>3</w:t>
      </w:r>
      <w:r>
        <w:rPr>
          <w:rStyle w:val="16"/>
          <w:rFonts w:ascii="仿宋" w:hAnsi="仿宋" w:eastAsia="仿宋"/>
          <w:bCs/>
          <w:sz w:val="32"/>
          <w:szCs w:val="32"/>
        </w:rPr>
        <w:t>.</w:t>
      </w:r>
      <w:r>
        <w:rPr>
          <w:rStyle w:val="16"/>
          <w:rFonts w:hint="eastAsia" w:ascii="仿宋" w:hAnsi="仿宋" w:eastAsia="仿宋"/>
          <w:bCs/>
          <w:sz w:val="32"/>
          <w:szCs w:val="32"/>
        </w:rPr>
        <w:t>其他应急管理支出（2240199）</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支出决算为0.6万元，完成预算100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spacing w:line="600" w:lineRule="exact"/>
        <w:ind w:firstLine="643" w:firstLineChars="200"/>
        <w:rPr>
          <w:rStyle w:val="16"/>
          <w:rFonts w:ascii="仿宋" w:hAnsi="仿宋" w:eastAsia="仿宋"/>
          <w:bCs/>
          <w:color w:val="000000"/>
          <w:sz w:val="32"/>
          <w:szCs w:val="32"/>
        </w:rPr>
      </w:pPr>
    </w:p>
    <w:p>
      <w:pPr>
        <w:spacing w:line="600" w:lineRule="exact"/>
        <w:ind w:firstLine="643" w:firstLineChars="200"/>
        <w:rPr>
          <w:rFonts w:ascii="仿宋" w:hAnsi="仿宋" w:eastAsia="仿宋"/>
          <w:b/>
          <w:color w:val="000000"/>
          <w:sz w:val="32"/>
          <w:szCs w:val="32"/>
        </w:rPr>
      </w:pPr>
      <w:r>
        <w:rPr>
          <w:rStyle w:val="16"/>
          <w:rFonts w:hint="eastAsia" w:ascii="仿宋" w:hAnsi="仿宋" w:eastAsia="仿宋"/>
          <w:bCs/>
          <w:color w:val="000000"/>
          <w:sz w:val="32"/>
          <w:szCs w:val="32"/>
        </w:rPr>
        <w:t>4</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社会保障和就业支出行政事业单位离退休机关事业单位基本养老保险缴费支出（2080505）</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支出决算为26.84万元，完成预算100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Style w:val="16"/>
          <w:rFonts w:hint="eastAsia" w:ascii="仿宋" w:hAnsi="仿宋" w:eastAsia="仿宋"/>
          <w:bCs/>
          <w:color w:val="000000"/>
          <w:sz w:val="32"/>
          <w:szCs w:val="32"/>
        </w:rPr>
        <w:t>机关事业单位职业年金缴费支出（2080506）：</w:t>
      </w:r>
      <w:r>
        <w:rPr>
          <w:rStyle w:val="16"/>
          <w:rFonts w:hint="eastAsia" w:ascii="仿宋" w:hAnsi="仿宋" w:eastAsia="仿宋"/>
          <w:b w:val="0"/>
          <w:bCs/>
          <w:color w:val="000000"/>
          <w:sz w:val="32"/>
          <w:szCs w:val="32"/>
        </w:rPr>
        <w:t>支出决算为12.32万元，完成预算100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6"/>
          <w:rFonts w:hint="eastAsia" w:ascii="仿宋" w:hAnsi="仿宋" w:eastAsia="仿宋"/>
          <w:bCs/>
          <w:color w:val="000000"/>
          <w:sz w:val="32"/>
          <w:szCs w:val="32"/>
        </w:rPr>
        <w:t>5</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医疗卫生与计划生育支出行政事业单位医疗行政单位医疗（2101101）</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支出决算为15.85万元，完成预算100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Style w:val="16"/>
          <w:rFonts w:hint="eastAsia" w:ascii="仿宋" w:hAnsi="仿宋" w:eastAsia="仿宋"/>
          <w:color w:val="000000"/>
          <w:sz w:val="32"/>
          <w:szCs w:val="32"/>
        </w:rPr>
        <w:t>公务员医疗补助（2101103）：</w:t>
      </w:r>
      <w:r>
        <w:rPr>
          <w:rStyle w:val="16"/>
          <w:rFonts w:hint="eastAsia" w:ascii="仿宋" w:hAnsi="仿宋" w:eastAsia="仿宋"/>
          <w:b w:val="0"/>
          <w:bCs/>
          <w:color w:val="000000"/>
          <w:sz w:val="32"/>
          <w:szCs w:val="32"/>
        </w:rPr>
        <w:t>支出决算为4.55万元，完成预算100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6.住房保障支出住房改革支出住房公积金（2210201）：</w:t>
      </w:r>
      <w:r>
        <w:rPr>
          <w:rStyle w:val="16"/>
          <w:rFonts w:hint="eastAsia" w:ascii="仿宋" w:hAnsi="仿宋" w:eastAsia="仿宋"/>
          <w:b w:val="0"/>
          <w:bCs/>
          <w:color w:val="000000"/>
          <w:sz w:val="32"/>
          <w:szCs w:val="32"/>
        </w:rPr>
        <w:t>支出决算为24.59万元，完成预算100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tabs>
          <w:tab w:val="right" w:pos="8306"/>
        </w:tabs>
        <w:spacing w:line="600" w:lineRule="exact"/>
        <w:ind w:firstLine="640" w:firstLineChars="200"/>
        <w:outlineLvl w:val="1"/>
        <w:rPr>
          <w:rStyle w:val="27"/>
        </w:rPr>
      </w:pPr>
      <w:bookmarkStart w:id="38" w:name="_Toc15377214"/>
      <w:bookmarkStart w:id="39"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7"/>
          <w:rFonts w:hint="eastAsia" w:ascii="黑体" w:hAnsi="黑体" w:eastAsia="黑体"/>
          <w:b w:val="0"/>
        </w:rPr>
        <w:t>般公共预算财政拨款基本支出决算情况说明</w:t>
      </w:r>
      <w:bookmarkEnd w:id="38"/>
      <w:bookmarkEnd w:id="39"/>
      <w:r>
        <w:rPr>
          <w:rStyle w:val="27"/>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9年一般公共预算财政拨款基本支出408.76万元，</w:t>
      </w:r>
      <w:r>
        <w:rPr>
          <w:rFonts w:hint="eastAsia" w:ascii="仿宋" w:hAnsi="仿宋" w:eastAsia="仿宋"/>
          <w:sz w:val="32"/>
          <w:szCs w:val="32"/>
        </w:rPr>
        <w:t>其中：</w:t>
      </w:r>
    </w:p>
    <w:p>
      <w:pPr>
        <w:spacing w:line="600" w:lineRule="exact"/>
        <w:ind w:firstLine="645"/>
        <w:rPr>
          <w:rFonts w:ascii="仿宋" w:hAnsi="仿宋" w:eastAsia="仿宋"/>
          <w:color w:val="000000"/>
          <w:sz w:val="32"/>
          <w:szCs w:val="32"/>
        </w:rPr>
      </w:pPr>
      <w:r>
        <w:rPr>
          <w:rFonts w:hint="eastAsia" w:ascii="仿宋" w:hAnsi="仿宋" w:eastAsia="仿宋"/>
          <w:sz w:val="32"/>
          <w:szCs w:val="32"/>
        </w:rPr>
        <w:t>人员经费340.8万元，</w:t>
      </w:r>
      <w:r>
        <w:rPr>
          <w:rFonts w:hint="eastAsia" w:ascii="仿宋" w:hAnsi="仿宋" w:eastAsia="仿宋"/>
          <w:color w:val="000000"/>
          <w:sz w:val="32"/>
          <w:szCs w:val="32"/>
        </w:rPr>
        <w:t>主要包括：基本工资71.74万元、津贴补贴</w:t>
      </w:r>
      <w:r>
        <w:rPr>
          <w:rFonts w:hint="eastAsia" w:ascii="仿宋" w:hAnsi="仿宋" w:eastAsia="仿宋"/>
          <w:color w:val="auto"/>
          <w:sz w:val="32"/>
          <w:szCs w:val="32"/>
        </w:rPr>
        <w:t>84.8</w:t>
      </w:r>
      <w:r>
        <w:rPr>
          <w:rFonts w:hint="eastAsia" w:ascii="仿宋" w:hAnsi="仿宋" w:eastAsia="仿宋"/>
          <w:color w:val="auto"/>
          <w:sz w:val="32"/>
          <w:szCs w:val="32"/>
          <w:lang w:val="en-US" w:eastAsia="zh-CN"/>
        </w:rPr>
        <w:t>8</w:t>
      </w:r>
      <w:r>
        <w:rPr>
          <w:rFonts w:hint="eastAsia" w:ascii="仿宋" w:hAnsi="仿宋" w:eastAsia="仿宋"/>
          <w:color w:val="000000"/>
          <w:sz w:val="32"/>
          <w:szCs w:val="32"/>
        </w:rPr>
        <w:t>万元、奖金87.88万元、机关事业单位基本养老保险缴费26.84万元、职业年金缴费12.32万元、其他社会保障缴费4.98万元、职工基本医疗保险缴费15.85万元、公务员医疗补助缴费4.55万元、医疗费</w:t>
      </w:r>
      <w:r>
        <w:rPr>
          <w:rFonts w:hint="eastAsia" w:ascii="仿宋" w:hAnsi="仿宋" w:eastAsia="仿宋"/>
          <w:color w:val="auto"/>
          <w:sz w:val="32"/>
          <w:szCs w:val="32"/>
        </w:rPr>
        <w:t>2.5</w:t>
      </w:r>
      <w:r>
        <w:rPr>
          <w:rFonts w:hint="eastAsia" w:ascii="仿宋" w:hAnsi="仿宋" w:eastAsia="仿宋"/>
          <w:color w:val="auto"/>
          <w:sz w:val="32"/>
          <w:szCs w:val="32"/>
          <w:lang w:val="en-US" w:eastAsia="zh-CN"/>
        </w:rPr>
        <w:t>7</w:t>
      </w:r>
      <w:r>
        <w:rPr>
          <w:rFonts w:hint="eastAsia" w:ascii="仿宋" w:hAnsi="仿宋" w:eastAsia="仿宋"/>
          <w:color w:val="000000"/>
          <w:sz w:val="32"/>
          <w:szCs w:val="32"/>
        </w:rPr>
        <w:t>万元、生活补助4.60万元、住房公积金24.59万元等。</w:t>
      </w:r>
      <w:r>
        <w:rPr>
          <w:rFonts w:ascii="仿宋" w:hAnsi="仿宋" w:eastAsia="仿宋"/>
          <w:color w:val="000000"/>
          <w:sz w:val="32"/>
          <w:szCs w:val="32"/>
        </w:rPr>
        <w:br w:type="textWrapping"/>
      </w:r>
      <w:r>
        <w:rPr>
          <w:rFonts w:hint="eastAsia" w:ascii="仿宋" w:hAnsi="仿宋" w:eastAsia="仿宋"/>
          <w:color w:val="000000"/>
          <w:sz w:val="32"/>
          <w:szCs w:val="32"/>
        </w:rPr>
        <w:t>　</w:t>
      </w:r>
      <w:r>
        <w:rPr>
          <w:rFonts w:hint="eastAsia" w:ascii="仿宋" w:hAnsi="仿宋" w:eastAsia="仿宋"/>
          <w:sz w:val="32"/>
          <w:szCs w:val="32"/>
        </w:rPr>
        <w:t>　公用经费67.9</w:t>
      </w:r>
      <w:r>
        <w:rPr>
          <w:rFonts w:hint="eastAsia" w:ascii="仿宋" w:hAnsi="仿宋" w:eastAsia="仿宋"/>
          <w:sz w:val="32"/>
          <w:szCs w:val="32"/>
          <w:lang w:val="en-US" w:eastAsia="zh-CN"/>
        </w:rPr>
        <w:t>7</w:t>
      </w:r>
      <w:r>
        <w:rPr>
          <w:rFonts w:hint="eastAsia" w:ascii="仿宋" w:hAnsi="仿宋" w:eastAsia="仿宋"/>
          <w:sz w:val="32"/>
          <w:szCs w:val="32"/>
        </w:rPr>
        <w:t>万元</w:t>
      </w:r>
      <w:r>
        <w:rPr>
          <w:rFonts w:hint="eastAsia" w:ascii="仿宋" w:hAnsi="仿宋" w:eastAsia="仿宋"/>
          <w:color w:val="000000"/>
          <w:sz w:val="32"/>
          <w:szCs w:val="32"/>
        </w:rPr>
        <w:t>，主要包括：办公费8.2万元、水费3.59万元、电费</w:t>
      </w:r>
      <w:r>
        <w:rPr>
          <w:rFonts w:hint="eastAsia" w:ascii="仿宋" w:hAnsi="仿宋" w:eastAsia="仿宋"/>
          <w:color w:val="auto"/>
          <w:sz w:val="32"/>
          <w:szCs w:val="32"/>
          <w:lang w:val="en-US" w:eastAsia="zh-CN"/>
        </w:rPr>
        <w:t>1.30</w:t>
      </w:r>
      <w:r>
        <w:rPr>
          <w:rFonts w:hint="eastAsia" w:ascii="仿宋" w:hAnsi="仿宋" w:eastAsia="仿宋"/>
          <w:color w:val="000000"/>
          <w:sz w:val="32"/>
          <w:szCs w:val="32"/>
        </w:rPr>
        <w:t>万元、邮电费</w:t>
      </w:r>
      <w:r>
        <w:rPr>
          <w:rFonts w:hint="eastAsia" w:ascii="仿宋" w:hAnsi="仿宋" w:eastAsia="仿宋"/>
          <w:color w:val="auto"/>
          <w:sz w:val="32"/>
          <w:szCs w:val="32"/>
        </w:rPr>
        <w:t>9.58</w:t>
      </w:r>
      <w:r>
        <w:rPr>
          <w:rFonts w:hint="eastAsia" w:ascii="仿宋" w:hAnsi="仿宋" w:eastAsia="仿宋"/>
          <w:color w:val="000000"/>
          <w:sz w:val="32"/>
          <w:szCs w:val="32"/>
        </w:rPr>
        <w:t>万元、差旅费17.03万元、因公出国（境）费用、维修（护）费0.51万元、</w:t>
      </w:r>
      <w:bookmarkStart w:id="67" w:name="_GoBack"/>
      <w:bookmarkEnd w:id="67"/>
      <w:r>
        <w:rPr>
          <w:rFonts w:hint="eastAsia" w:ascii="仿宋" w:hAnsi="仿宋" w:eastAsia="仿宋"/>
          <w:color w:val="000000"/>
          <w:sz w:val="32"/>
          <w:szCs w:val="32"/>
        </w:rPr>
        <w:t>培训费1.75万元、公务接待费0.41万元、公务用车运行维护费25.6万元。</w:t>
      </w:r>
    </w:p>
    <w:p>
      <w:pPr>
        <w:spacing w:line="600" w:lineRule="exact"/>
        <w:ind w:firstLine="640" w:firstLineChars="200"/>
        <w:outlineLvl w:val="1"/>
        <w:rPr>
          <w:rStyle w:val="27"/>
          <w:rFonts w:ascii="黑体" w:hAnsi="黑体" w:eastAsia="黑体"/>
          <w:b w:val="0"/>
        </w:rPr>
      </w:pPr>
      <w:bookmarkStart w:id="40" w:name="_Toc15377215"/>
      <w:bookmarkStart w:id="41" w:name="_Toc15396609"/>
      <w:r>
        <w:rPr>
          <w:rFonts w:hint="eastAsia" w:ascii="黑体" w:eastAsia="黑体"/>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40"/>
      <w:bookmarkEnd w:id="41"/>
    </w:p>
    <w:p>
      <w:pPr>
        <w:spacing w:line="600" w:lineRule="exact"/>
        <w:ind w:firstLine="640"/>
        <w:outlineLvl w:val="2"/>
        <w:rPr>
          <w:rFonts w:ascii="仿宋" w:hAnsi="仿宋" w:eastAsia="仿宋"/>
          <w:b/>
          <w:color w:val="000000"/>
          <w:sz w:val="32"/>
          <w:szCs w:val="32"/>
        </w:rPr>
      </w:pPr>
      <w:bookmarkStart w:id="42" w:name="_Toc15377216"/>
      <w:r>
        <w:rPr>
          <w:rFonts w:hint="eastAsia" w:ascii="仿宋" w:hAnsi="仿宋" w:eastAsia="仿宋"/>
          <w:b/>
          <w:color w:val="000000"/>
          <w:sz w:val="32"/>
          <w:szCs w:val="32"/>
        </w:rPr>
        <w:t>（一）“三公”经费财政拨款支出决算总体情况说明</w:t>
      </w:r>
      <w:bookmarkEnd w:id="42"/>
    </w:p>
    <w:p>
      <w:pPr>
        <w:spacing w:line="600" w:lineRule="exact"/>
        <w:ind w:left="210" w:leftChars="100" w:firstLine="640"/>
        <w:rPr>
          <w:rFonts w:asciiTheme="majorEastAsia" w:hAnsiTheme="majorEastAsia" w:eastAsiaTheme="majorEastAsia" w:cstheme="majorEastAsia"/>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9年“三公”经费财政拨款支出决算为29.16万元，</w:t>
      </w:r>
      <w:r>
        <w:rPr>
          <w:rFonts w:hint="eastAsia" w:ascii="仿宋" w:hAnsi="仿宋" w:eastAsia="仿宋"/>
          <w:sz w:val="32"/>
          <w:szCs w:val="32"/>
        </w:rPr>
        <w:t>完成预算108.4</w:t>
      </w:r>
      <w:r>
        <w:rPr>
          <w:rFonts w:ascii="仿宋" w:hAnsi="仿宋" w:eastAsia="仿宋"/>
          <w:sz w:val="32"/>
          <w:szCs w:val="32"/>
        </w:rPr>
        <w:t>%</w:t>
      </w:r>
      <w:r>
        <w:rPr>
          <w:rFonts w:hint="eastAsia" w:ascii="仿宋" w:hAnsi="仿宋" w:eastAsia="仿宋"/>
          <w:sz w:val="32"/>
          <w:szCs w:val="32"/>
        </w:rPr>
        <w:t>，决算数大于预算数</w:t>
      </w:r>
    </w:p>
    <w:p>
      <w:pPr>
        <w:spacing w:line="600" w:lineRule="exact"/>
        <w:ind w:firstLine="643" w:firstLineChars="200"/>
        <w:outlineLvl w:val="2"/>
        <w:rPr>
          <w:rFonts w:ascii="仿宋" w:hAnsi="仿宋" w:eastAsia="仿宋"/>
          <w:b/>
          <w:color w:val="000000"/>
          <w:sz w:val="32"/>
          <w:szCs w:val="32"/>
        </w:rPr>
      </w:pPr>
      <w:bookmarkStart w:id="43" w:name="_Toc15377217"/>
      <w:r>
        <w:rPr>
          <w:rFonts w:hint="eastAsia" w:ascii="仿宋" w:hAnsi="仿宋" w:eastAsia="仿宋"/>
          <w:b/>
          <w:color w:val="000000"/>
          <w:sz w:val="32"/>
          <w:szCs w:val="32"/>
        </w:rPr>
        <w:t>（二）“三公”经费财政拨款支出决算具体情况说明</w:t>
      </w:r>
      <w:bookmarkEnd w:id="43"/>
    </w:p>
    <w:p>
      <w:pPr>
        <w:spacing w:line="600" w:lineRule="exact"/>
        <w:ind w:firstLine="640"/>
        <w:rPr>
          <w:rFonts w:ascii="仿宋" w:hAnsi="仿宋" w:eastAsia="仿宋"/>
          <w:color w:val="000000"/>
          <w:sz w:val="32"/>
          <w:szCs w:val="32"/>
        </w:rPr>
      </w:pPr>
      <w:r>
        <w:rPr>
          <w:rFonts w:ascii="仿宋_GB2312" w:eastAsia="仿宋_GB2312"/>
          <w:color w:val="000000"/>
          <w:sz w:val="32"/>
          <w:szCs w:val="32"/>
        </w:rPr>
        <w:pict>
          <v:shape id="_x0000_s1035" o:spid="_x0000_s1035" o:spt="75" type="#_x0000_t75" style="position:absolute;left:0pt;margin-left:10.5pt;margin-top:127pt;height:139pt;width:394.7pt;mso-wrap-distance-bottom:0pt;mso-wrap-distance-left:9pt;mso-wrap-distance-right:9pt;mso-wrap-distance-top:0pt;z-index:251742208;mso-width-relative:page;mso-height-relative:page;" o:ole="t" filled="f" o:preferrelative="t" stroked="f" coordsize="21600,21600">
            <v:path/>
            <v:fill on="f" focussize="0,0"/>
            <v:stroke on="f" joinstyle="miter"/>
            <v:imagedata r:id="rId19" o:title=""/>
            <o:lock v:ext="edit" aspectratio="t"/>
            <w10:wrap type="square" side="right"/>
          </v:shape>
          <o:OLEObject Type="Embed" ProgID="MSGraph.Chart.8" ShapeID="_x0000_s1035" DrawAspect="Content" ObjectID="_1468075731" r:id="rId18">
            <o:LockedField>false</o:LockedField>
          </o:OLEObject>
        </w:pict>
      </w: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；公务用车购置及运行维护费支出决算28.75万元，占98.59</w:t>
      </w:r>
      <w:r>
        <w:rPr>
          <w:rFonts w:ascii="仿宋" w:hAnsi="仿宋" w:eastAsia="仿宋"/>
          <w:color w:val="000000"/>
          <w:sz w:val="32"/>
          <w:szCs w:val="32"/>
        </w:rPr>
        <w:t>%</w:t>
      </w:r>
      <w:r>
        <w:rPr>
          <w:rFonts w:hint="eastAsia" w:ascii="仿宋" w:hAnsi="仿宋" w:eastAsia="仿宋"/>
          <w:color w:val="000000"/>
          <w:sz w:val="32"/>
          <w:szCs w:val="32"/>
        </w:rPr>
        <w:t>；公务接待费支出决算0.41万元，占1.41</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_GB2312" w:eastAsia="仿宋_GB2312"/>
          <w:b/>
          <w:color w:val="000000"/>
          <w:sz w:val="32"/>
          <w:szCs w:val="32"/>
        </w:rPr>
      </w:pPr>
    </w:p>
    <w:p>
      <w:pPr>
        <w:spacing w:line="600" w:lineRule="exact"/>
        <w:ind w:firstLine="643" w:firstLineChars="20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6"/>
          <w:rFonts w:hint="eastAsia" w:ascii="仿宋" w:hAnsi="仿宋" w:eastAsia="仿宋"/>
          <w:b w:val="0"/>
          <w:bCs/>
          <w:color w:val="000000"/>
          <w:sz w:val="32"/>
          <w:szCs w:val="32"/>
        </w:rPr>
        <w:t>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8年无变化。</w:t>
      </w:r>
    </w:p>
    <w:p>
      <w:pPr>
        <w:spacing w:line="600" w:lineRule="exact"/>
        <w:ind w:firstLine="643" w:firstLineChars="20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28.75万元,</w:t>
      </w:r>
      <w:r>
        <w:rPr>
          <w:rStyle w:val="16"/>
          <w:rFonts w:hint="eastAsia" w:ascii="仿宋" w:hAnsi="仿宋" w:eastAsia="仿宋"/>
          <w:b w:val="0"/>
          <w:bCs/>
          <w:sz w:val="32"/>
          <w:szCs w:val="32"/>
        </w:rPr>
        <w:t>超出预算。</w:t>
      </w:r>
      <w:r>
        <w:rPr>
          <w:rFonts w:hint="eastAsia" w:ascii="仿宋_GB2312" w:eastAsia="仿宋_GB2312"/>
          <w:sz w:val="32"/>
          <w:szCs w:val="32"/>
        </w:rPr>
        <w:t>公务用车购置及运行维护费支出决算比</w:t>
      </w:r>
      <w:r>
        <w:rPr>
          <w:rFonts w:ascii="仿宋_GB2312" w:eastAsia="仿宋_GB2312"/>
          <w:sz w:val="32"/>
          <w:szCs w:val="32"/>
        </w:rPr>
        <w:t>201</w:t>
      </w:r>
      <w:r>
        <w:rPr>
          <w:rFonts w:hint="eastAsia" w:ascii="仿宋_GB2312" w:eastAsia="仿宋_GB2312"/>
          <w:sz w:val="32"/>
          <w:szCs w:val="32"/>
        </w:rPr>
        <w:t>8年增加3.15万元，增加12.3%。主要原因实际发生费用增多</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0万元。全年按规定无公车购置。截至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月底，单位共有公务用车4辆，其中：轿车1辆、越野车3辆。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28.75万元。</w:t>
      </w:r>
      <w:r>
        <w:rPr>
          <w:rFonts w:eastAsia="仿宋_GB2312"/>
          <w:color w:val="000000"/>
          <w:sz w:val="32"/>
          <w:szCs w:val="32"/>
        </w:rPr>
        <w:t>主要用于州总工会重点工作的开展，比如到基层县（市）总工会检查指导工作；用于困难职工深度帮扶、劳模春节慰问、劳动服务管理、经费审查等所需的公务用车燃料费、维修费、过路过桥费、保险费等支出</w:t>
      </w:r>
      <w:r>
        <w:rPr>
          <w:rFonts w:hint="eastAsia" w:ascii="仿宋_GB2312" w:eastAsia="仿宋_GB2312"/>
          <w:color w:val="000000"/>
          <w:sz w:val="32"/>
          <w:szCs w:val="32"/>
        </w:rPr>
        <w:t>。</w:t>
      </w:r>
    </w:p>
    <w:p>
      <w:pPr>
        <w:spacing w:line="600" w:lineRule="exact"/>
        <w:ind w:firstLine="640"/>
        <w:rPr>
          <w:rFonts w:ascii="仿宋_GB2312" w:eastAsia="仿宋_GB2312"/>
          <w:color w:val="000000" w:themeColor="text1"/>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0.41万元，</w:t>
      </w:r>
      <w:r>
        <w:rPr>
          <w:rStyle w:val="16"/>
          <w:rFonts w:hint="eastAsia" w:ascii="仿宋" w:hAnsi="仿宋" w:eastAsia="仿宋"/>
          <w:b w:val="0"/>
          <w:bCs/>
          <w:sz w:val="32"/>
          <w:szCs w:val="32"/>
        </w:rPr>
        <w:t>完成预算31.54</w:t>
      </w:r>
      <w:r>
        <w:rPr>
          <w:rStyle w:val="16"/>
          <w:rFonts w:ascii="仿宋" w:hAnsi="仿宋" w:eastAsia="仿宋"/>
          <w:b w:val="0"/>
          <w:bCs/>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8年减少0.09万元，</w:t>
      </w:r>
      <w:r>
        <w:rPr>
          <w:rFonts w:hint="eastAsia" w:ascii="仿宋_GB2312" w:eastAsia="仿宋_GB2312"/>
          <w:sz w:val="32"/>
          <w:szCs w:val="32"/>
        </w:rPr>
        <w:t>下降18</w:t>
      </w:r>
      <w:r>
        <w:rPr>
          <w:rFonts w:ascii="仿宋_GB2312" w:eastAsia="仿宋_GB2312"/>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rPr>
        <w:t>主要原因是结合工会改革实际，按照增“三性”去“四化”要求，2017年压缩公用支出，增加帮扶资金和对下补助支出。</w:t>
      </w:r>
    </w:p>
    <w:p>
      <w:pPr>
        <w:spacing w:line="600" w:lineRule="exact"/>
        <w:ind w:firstLine="640" w:firstLineChars="200"/>
        <w:rPr>
          <w:rFonts w:ascii="仿宋_GB2312" w:hAnsi="仿宋_GB2312" w:eastAsia="仿宋_GB2312" w:cs="仿宋_GB2312"/>
          <w:bCs/>
          <w:color w:val="FF0000"/>
          <w:sz w:val="32"/>
          <w:szCs w:val="32"/>
        </w:rPr>
      </w:pPr>
      <w:bookmarkStart w:id="44" w:name="_Toc15377218"/>
      <w:bookmarkStart w:id="45" w:name="_Toc15396610"/>
    </w:p>
    <w:p>
      <w:pPr>
        <w:spacing w:line="600" w:lineRule="exact"/>
        <w:ind w:firstLine="640"/>
        <w:outlineLvl w:val="1"/>
        <w:rPr>
          <w:rStyle w:val="27"/>
          <w:rFonts w:ascii="黑体" w:hAnsi="黑体" w:eastAsia="黑体"/>
        </w:rPr>
      </w:pPr>
      <w:r>
        <w:rPr>
          <w:rFonts w:hint="eastAsia" w:ascii="黑体" w:eastAsia="黑体"/>
          <w:color w:val="000000"/>
          <w:sz w:val="32"/>
          <w:szCs w:val="32"/>
        </w:rPr>
        <w:t>八、</w:t>
      </w:r>
      <w:r>
        <w:rPr>
          <w:rStyle w:val="27"/>
          <w:rFonts w:hint="eastAsia" w:ascii="黑体" w:hAnsi="黑体" w:eastAsia="黑体"/>
          <w:b w:val="0"/>
        </w:rPr>
        <w:t>政府性基金预算支出决算情况说明</w:t>
      </w:r>
      <w:bookmarkEnd w:id="44"/>
      <w:bookmarkEnd w:id="45"/>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9年政府性基金预算拨款支出无。</w:t>
      </w:r>
    </w:p>
    <w:p>
      <w:pPr>
        <w:spacing w:line="600" w:lineRule="exact"/>
        <w:ind w:firstLine="640" w:firstLineChars="200"/>
        <w:outlineLvl w:val="1"/>
        <w:rPr>
          <w:rStyle w:val="27"/>
          <w:rFonts w:ascii="黑体" w:hAnsi="黑体" w:eastAsia="黑体"/>
          <w:b w:val="0"/>
        </w:rPr>
      </w:pPr>
      <w:bookmarkStart w:id="46" w:name="_Toc15396611"/>
      <w:bookmarkStart w:id="47" w:name="_Toc15377219"/>
      <w:r>
        <w:rPr>
          <w:rStyle w:val="27"/>
          <w:rFonts w:hint="eastAsia" w:ascii="黑体" w:hAnsi="黑体" w:eastAsia="黑体"/>
          <w:b w:val="0"/>
        </w:rPr>
        <w:t>九、国有资本经营预算支出决算情况说明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9年国有资本经营预算拨款支出无。</w:t>
      </w:r>
    </w:p>
    <w:p>
      <w:pPr>
        <w:spacing w:line="600" w:lineRule="exact"/>
        <w:ind w:firstLine="800" w:firstLineChars="250"/>
        <w:outlineLvl w:val="1"/>
        <w:rPr>
          <w:rStyle w:val="27"/>
          <w:rFonts w:ascii="黑体" w:hAnsi="黑体" w:eastAsia="黑体"/>
        </w:rPr>
      </w:pPr>
      <w:r>
        <w:rPr>
          <w:rFonts w:hint="eastAsia" w:ascii="黑体" w:hAnsi="黑体" w:eastAsia="黑体"/>
          <w:color w:val="000000"/>
          <w:sz w:val="32"/>
          <w:szCs w:val="32"/>
        </w:rPr>
        <w:t>十</w:t>
      </w:r>
      <w:r>
        <w:rPr>
          <w:rStyle w:val="27"/>
          <w:rFonts w:hint="eastAsia" w:ascii="黑体" w:hAnsi="黑体" w:eastAsia="黑体"/>
        </w:rPr>
        <w:t>、</w:t>
      </w:r>
      <w:r>
        <w:rPr>
          <w:rStyle w:val="27"/>
          <w:rFonts w:hint="eastAsia" w:ascii="黑体" w:hAnsi="黑体" w:eastAsia="黑体"/>
          <w:b w:val="0"/>
        </w:rPr>
        <w:t>其他重要事项的情况说明</w:t>
      </w:r>
    </w:p>
    <w:p>
      <w:pPr>
        <w:spacing w:line="600" w:lineRule="exact"/>
        <w:ind w:firstLine="643" w:firstLineChars="200"/>
        <w:outlineLvl w:val="2"/>
        <w:rPr>
          <w:rFonts w:ascii="仿宋" w:hAnsi="仿宋" w:eastAsia="仿宋"/>
          <w:color w:val="000000"/>
          <w:sz w:val="32"/>
          <w:szCs w:val="32"/>
        </w:rPr>
      </w:pPr>
      <w:r>
        <w:rPr>
          <w:rFonts w:hint="eastAsia" w:ascii="仿宋" w:hAnsi="仿宋" w:eastAsia="仿宋"/>
          <w:b/>
          <w:color w:val="000000"/>
          <w:sz w:val="32"/>
          <w:szCs w:val="32"/>
        </w:rPr>
        <w:t>（一）机关运行经费支出情况</w:t>
      </w:r>
    </w:p>
    <w:p>
      <w:pPr>
        <w:spacing w:line="600" w:lineRule="exact"/>
        <w:ind w:firstLine="640" w:firstLineChars="200"/>
        <w:rPr>
          <w:rFonts w:ascii="仿宋_GB2312" w:eastAsia="仿宋_GB2312"/>
          <w:color w:val="000000" w:themeColor="text1"/>
          <w:sz w:val="32"/>
          <w:szCs w:val="32"/>
        </w:rPr>
      </w:pPr>
      <w:r>
        <w:rPr>
          <w:rFonts w:ascii="仿宋_GB2312" w:eastAsia="仿宋_GB2312"/>
          <w:color w:val="000000"/>
          <w:sz w:val="32"/>
          <w:szCs w:val="32"/>
        </w:rPr>
        <w:t>201</w:t>
      </w:r>
      <w:r>
        <w:rPr>
          <w:rFonts w:hint="eastAsia" w:ascii="仿宋_GB2312" w:eastAsia="仿宋_GB2312"/>
          <w:color w:val="000000"/>
          <w:sz w:val="32"/>
          <w:szCs w:val="32"/>
        </w:rPr>
        <w:t>9年，阿坝州总工会机关运行经费支出67.96万元，比</w:t>
      </w:r>
      <w:r>
        <w:rPr>
          <w:rFonts w:ascii="仿宋_GB2312" w:eastAsia="仿宋_GB2312"/>
          <w:color w:val="000000"/>
          <w:sz w:val="32"/>
          <w:szCs w:val="32"/>
        </w:rPr>
        <w:t>201</w:t>
      </w:r>
      <w:r>
        <w:rPr>
          <w:rFonts w:hint="eastAsia" w:ascii="仿宋_GB2312" w:eastAsia="仿宋_GB2312"/>
          <w:color w:val="000000"/>
          <w:sz w:val="32"/>
          <w:szCs w:val="32"/>
        </w:rPr>
        <w:t>8年减少9.57万元，下降12.33</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rPr>
        <w:t>主要原因是州总工会机关每年都是5%的比例压缩公用经费支出，严格控制“三公经费”、会议费、培训费、差旅费等支出。</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（二）政府采购支出情况</w:t>
      </w:r>
    </w:p>
    <w:p>
      <w:pPr>
        <w:spacing w:line="600" w:lineRule="exact"/>
        <w:ind w:firstLine="640" w:firstLineChars="200"/>
        <w:rPr>
          <w:rFonts w:ascii="仿宋" w:hAnsi="仿宋" w:eastAsia="仿宋_GB2312"/>
          <w:b/>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9年，州总工会政府采购支出无，</w:t>
      </w:r>
      <w:r>
        <w:rPr>
          <w:rFonts w:eastAsia="仿宋_GB2312"/>
          <w:color w:val="000000"/>
          <w:sz w:val="32"/>
          <w:szCs w:val="32"/>
        </w:rPr>
        <w:t>其中：政府采购货物支出</w:t>
      </w:r>
      <w:r>
        <w:rPr>
          <w:rFonts w:hint="eastAsia" w:eastAsia="仿宋_GB2312"/>
          <w:color w:val="000000"/>
          <w:sz w:val="32"/>
          <w:szCs w:val="32"/>
        </w:rPr>
        <w:t>无</w:t>
      </w:r>
      <w:r>
        <w:rPr>
          <w:rFonts w:eastAsia="仿宋_GB2312"/>
          <w:color w:val="000000"/>
          <w:sz w:val="32"/>
          <w:szCs w:val="32"/>
        </w:rPr>
        <w:t>、政府采购工程支出</w:t>
      </w:r>
      <w:r>
        <w:rPr>
          <w:rFonts w:hint="eastAsia" w:eastAsia="仿宋_GB2312"/>
          <w:color w:val="000000"/>
          <w:sz w:val="32"/>
          <w:szCs w:val="32"/>
        </w:rPr>
        <w:t>无</w:t>
      </w:r>
      <w:r>
        <w:rPr>
          <w:rFonts w:eastAsia="仿宋_GB2312"/>
          <w:color w:val="000000"/>
          <w:sz w:val="32"/>
          <w:szCs w:val="32"/>
        </w:rPr>
        <w:t>、政府采购服务支出</w:t>
      </w:r>
      <w:r>
        <w:rPr>
          <w:rFonts w:hint="eastAsia" w:eastAsia="仿宋_GB2312"/>
          <w:color w:val="000000"/>
          <w:sz w:val="32"/>
          <w:szCs w:val="32"/>
        </w:rPr>
        <w:t>无</w:t>
      </w:r>
      <w:r>
        <w:rPr>
          <w:rFonts w:eastAsia="仿宋_GB2312"/>
          <w:color w:val="000000"/>
          <w:sz w:val="32"/>
          <w:szCs w:val="32"/>
        </w:rPr>
        <w:t>。</w:t>
      </w:r>
      <w:r>
        <w:rPr>
          <w:rFonts w:hint="eastAsia" w:ascii="仿宋_GB2312" w:eastAsia="仿宋_GB2312"/>
          <w:color w:val="000000"/>
          <w:sz w:val="32"/>
          <w:szCs w:val="32"/>
        </w:rPr>
        <w:t>因工会资产属于工会管理使用，故未申请财政资金采购。</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（三）国有资产占有使用情况</w:t>
      </w:r>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eastAsia="仿宋_GB2312"/>
          <w:color w:val="000000"/>
          <w:sz w:val="32"/>
          <w:szCs w:val="32"/>
        </w:rPr>
        <w:t>阿坝州总工会公有车辆4辆，其中：州级领导干部用车</w:t>
      </w:r>
      <w:r>
        <w:rPr>
          <w:rFonts w:hint="eastAsia" w:eastAsia="仿宋_GB2312"/>
          <w:color w:val="000000"/>
          <w:sz w:val="32"/>
          <w:szCs w:val="32"/>
        </w:rPr>
        <w:t>0</w:t>
      </w:r>
      <w:r>
        <w:rPr>
          <w:rFonts w:eastAsia="仿宋_GB2312"/>
          <w:color w:val="000000"/>
          <w:sz w:val="32"/>
          <w:szCs w:val="32"/>
        </w:rPr>
        <w:t>辆、一般公务用车</w:t>
      </w:r>
      <w:r>
        <w:rPr>
          <w:rFonts w:hint="eastAsia" w:eastAsia="仿宋_GB2312"/>
          <w:color w:val="000000"/>
          <w:sz w:val="32"/>
          <w:szCs w:val="32"/>
        </w:rPr>
        <w:t>4</w:t>
      </w:r>
      <w:r>
        <w:rPr>
          <w:rFonts w:eastAsia="仿宋_GB2312"/>
          <w:color w:val="000000"/>
          <w:sz w:val="32"/>
          <w:szCs w:val="32"/>
        </w:rPr>
        <w:t>辆；单价50万元以上通用设备</w:t>
      </w:r>
      <w:r>
        <w:rPr>
          <w:rFonts w:hint="eastAsia" w:eastAsia="仿宋_GB2312"/>
          <w:color w:val="000000"/>
          <w:sz w:val="32"/>
          <w:szCs w:val="32"/>
        </w:rPr>
        <w:t>无</w:t>
      </w:r>
      <w:r>
        <w:rPr>
          <w:rFonts w:eastAsia="仿宋_GB2312"/>
          <w:color w:val="000000"/>
          <w:sz w:val="32"/>
          <w:szCs w:val="32"/>
        </w:rPr>
        <w:t>，单价100万元以上专用设备</w:t>
      </w:r>
      <w:r>
        <w:rPr>
          <w:rFonts w:hint="eastAsia" w:eastAsia="仿宋_GB2312"/>
          <w:color w:val="000000"/>
          <w:sz w:val="32"/>
          <w:szCs w:val="32"/>
        </w:rPr>
        <w:t>无</w:t>
      </w:r>
      <w:r>
        <w:rPr>
          <w:rFonts w:eastAsia="仿宋_GB2312"/>
          <w:color w:val="000000"/>
          <w:sz w:val="32"/>
          <w:szCs w:val="32"/>
        </w:rPr>
        <w:t>。</w:t>
      </w:r>
    </w:p>
    <w:p>
      <w:pPr>
        <w:pStyle w:val="2"/>
      </w:pPr>
    </w:p>
    <w:p>
      <w:pPr>
        <w:spacing w:line="580" w:lineRule="exact"/>
        <w:ind w:firstLine="800" w:firstLineChars="250"/>
        <w:rPr>
          <w:rFonts w:ascii="黑体" w:hAnsi="黑体" w:eastAsia="黑体" w:cstheme="majorBidi"/>
          <w:bCs/>
          <w:sz w:val="32"/>
          <w:szCs w:val="32"/>
        </w:rPr>
      </w:pPr>
      <w:r>
        <w:rPr>
          <w:rStyle w:val="27"/>
          <w:rFonts w:hint="eastAsia" w:ascii="黑体" w:hAnsi="黑体" w:eastAsia="黑体"/>
          <w:b w:val="0"/>
        </w:rPr>
        <w:t>（四）预算绩效情况说明</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特困职工深度帮扶项目开展了预算事前绩效评估，对7个项目编制了绩效目标，预算执行过程中，选取5个项目开展绩效监控，年终执行完毕后，对5个项目开展了绩效目标完成情况自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本部门按要求对2019年部门整体支出开展绩效自评，从评价情况来看</w:t>
      </w:r>
      <w:r>
        <w:rPr>
          <w:rFonts w:hint="eastAsia" w:ascii="仿宋_GB2312" w:hAnsi="仿宋_GB2312" w:eastAsia="仿宋_GB2312" w:cs="仿宋_GB2312"/>
          <w:bCs/>
          <w:spacing w:val="-2"/>
          <w:sz w:val="32"/>
          <w:szCs w:val="32"/>
        </w:rPr>
        <w:t>预算执行情况良好，无不良记录及违规违纪行为，预算支出和决算支出情况相符</w:t>
      </w:r>
      <w:r>
        <w:rPr>
          <w:rFonts w:hint="eastAsia" w:ascii="仿宋_GB2312" w:hAnsi="仿宋_GB2312" w:eastAsia="仿宋_GB2312" w:cs="仿宋_GB2312"/>
          <w:sz w:val="32"/>
          <w:szCs w:val="32"/>
        </w:rPr>
        <w:t>。本部门还自行组织了7个项目绩效评价，从评价情况来看,</w:t>
      </w:r>
      <w:r>
        <w:rPr>
          <w:rFonts w:hint="eastAsia" w:ascii="仿宋_GB2312" w:hAnsi="仿宋_GB2312" w:eastAsia="仿宋_GB2312" w:cs="仿宋_GB2312"/>
          <w:bCs/>
          <w:spacing w:val="-2"/>
          <w:sz w:val="32"/>
          <w:szCs w:val="32"/>
        </w:rPr>
        <w:t>项目支出用于保障我会各项职能职责充分发挥，完善设备设施建设、完善监督职责等产生的各类专项费用</w:t>
      </w:r>
      <w:r>
        <w:rPr>
          <w:rFonts w:hint="eastAsia" w:ascii="仿宋_GB2312" w:hAnsi="仿宋_GB2312" w:eastAsia="仿宋_GB2312" w:cs="仿宋_GB2312"/>
          <w:sz w:val="32"/>
          <w:szCs w:val="32"/>
        </w:rPr>
        <w:t>。</w:t>
      </w:r>
    </w:p>
    <w:p>
      <w:pPr>
        <w:spacing w:line="580" w:lineRule="exact"/>
        <w:ind w:firstLine="790" w:firstLineChars="246"/>
        <w:rPr>
          <w:rFonts w:ascii="仿宋_GB2312" w:hAnsi="仿宋_GB2312" w:eastAsia="仿宋_GB2312" w:cs="仿宋_GB2312"/>
          <w:sz w:val="32"/>
          <w:szCs w:val="32"/>
        </w:rPr>
      </w:pPr>
      <w:r>
        <w:rPr>
          <w:rFonts w:hint="eastAsia" w:ascii="仿宋" w:hAnsi="仿宋" w:eastAsia="仿宋" w:cs="楷体_GB2312"/>
          <w:b/>
          <w:bCs/>
          <w:sz w:val="32"/>
          <w:szCs w:val="32"/>
        </w:rPr>
        <w:t>1.项目绩效目标完成情况。</w:t>
      </w:r>
      <w:r>
        <w:rPr>
          <w:rFonts w:hint="eastAsia" w:ascii="楷体_GB2312" w:hAnsi="楷体_GB2312" w:eastAsia="楷体_GB2312" w:cs="楷体_GB2312"/>
          <w:b/>
          <w:bCs/>
          <w:sz w:val="32"/>
          <w:szCs w:val="32"/>
        </w:rPr>
        <w:br w:type="textWrapping"/>
      </w:r>
      <w:r>
        <w:rPr>
          <w:rFonts w:hint="eastAsia" w:ascii="仿宋_GB2312" w:hAnsi="仿宋_GB2312" w:eastAsia="仿宋_GB2312" w:cs="仿宋_GB2312"/>
          <w:sz w:val="32"/>
          <w:szCs w:val="32"/>
        </w:rPr>
        <w:t xml:space="preserve">    本部门在2019年度部门决算中反映“工会专项业务经费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、“特困职工深度帮扶</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、“州级劳模专项资金”等7个项目绩效目标实际完成情况。</w:t>
      </w:r>
    </w:p>
    <w:p>
      <w:pPr>
        <w:tabs>
          <w:tab w:val="left" w:pos="312"/>
        </w:tabs>
        <w:spacing w:line="58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rPr>
        <w:t>（1）工会专项业务经费项</w:t>
      </w:r>
      <w:r>
        <w:rPr>
          <w:rFonts w:hint="eastAsia" w:ascii="仿宋_GB2312" w:hAnsi="仿宋_GB2312" w:eastAsia="仿宋_GB2312" w:cs="仿宋_GB2312"/>
          <w:sz w:val="32"/>
          <w:szCs w:val="32"/>
        </w:rPr>
        <w:t>目绩效目标完成情况综述。项目全年预算数30万元，执行数为30万元，完成预算的100%。通过项目实施，保障常委主席工作的顺利开展和确保各级工会组织工作开展的需要。</w:t>
      </w:r>
      <w:r>
        <w:rPr>
          <w:rFonts w:ascii="仿宋_GB2312" w:hAnsi="仿宋_GB2312" w:eastAsia="仿宋_GB2312" w:cs="仿宋_GB2312"/>
          <w:sz w:val="32"/>
          <w:szCs w:val="32"/>
        </w:rPr>
        <w:t xml:space="preserve"> </w:t>
      </w:r>
    </w:p>
    <w:p>
      <w:pPr>
        <w:tabs>
          <w:tab w:val="left" w:pos="312"/>
        </w:tabs>
        <w:spacing w:line="58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（2）特困职工</w:t>
      </w:r>
      <w:r>
        <w:rPr>
          <w:rStyle w:val="30"/>
          <w:rFonts w:hint="eastAsia"/>
          <w:b w:val="0"/>
        </w:rPr>
        <w:t>深度帮扶行动专项资金项目绩效目标完成情况综述。项目全年</w:t>
      </w:r>
      <w:r>
        <w:rPr>
          <w:rFonts w:hint="eastAsia" w:ascii="仿宋_GB2312" w:hAnsi="仿宋_GB2312" w:eastAsia="仿宋_GB2312" w:cs="仿宋_GB2312"/>
          <w:sz w:val="32"/>
          <w:szCs w:val="32"/>
        </w:rPr>
        <w:t>预算数100万元，</w:t>
      </w:r>
      <w:r>
        <w:rPr>
          <w:rFonts w:hint="eastAsia" w:ascii="仿宋_GB2312" w:hAnsi="仿宋_GB2312" w:eastAsia="仿宋_GB2312" w:cs="仿宋_GB2312"/>
          <w:color w:val="000000" w:themeColor="text1"/>
          <w:sz w:val="32"/>
          <w:szCs w:val="32"/>
        </w:rPr>
        <w:t>执行数为100万元，</w:t>
      </w:r>
      <w:r>
        <w:rPr>
          <w:rFonts w:hint="eastAsia" w:ascii="仿宋_GB2312" w:hAnsi="仿宋_GB2312" w:eastAsia="仿宋_GB2312" w:cs="仿宋_GB2312"/>
          <w:sz w:val="32"/>
          <w:szCs w:val="32"/>
        </w:rPr>
        <w:t>完成预算的100%。通过项目实施，充分体现党委政府及工会组织对全州困难职工群体的关心关爱,保障特困职工深度帮扶救助活动，帮助困难职工家庭缓解基本生活困难，努力把职工的困难解决在基层。发现的主要问题：走下去，多到基层实施走访慰问。下一步改进措施：把矛盾化解在萌芽状态，确保每位困难职工能够生活安定，维护社会和谐稳定。</w:t>
      </w:r>
    </w:p>
    <w:p>
      <w:pPr>
        <w:tabs>
          <w:tab w:val="left" w:pos="312"/>
        </w:tabs>
        <w:spacing w:line="58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（3）州级劳模专项资金项目绩效目标完成情况综述。项目全年预算数28万元，</w:t>
      </w:r>
      <w:r>
        <w:rPr>
          <w:rFonts w:hint="eastAsia" w:ascii="仿宋_GB2312" w:hAnsi="仿宋_GB2312" w:eastAsia="仿宋_GB2312" w:cs="仿宋_GB2312"/>
          <w:color w:val="000000" w:themeColor="text1"/>
          <w:sz w:val="32"/>
          <w:szCs w:val="32"/>
        </w:rPr>
        <w:t>执行数为28万元，完成预算的100%。</w:t>
      </w:r>
      <w:r>
        <w:rPr>
          <w:rFonts w:hint="eastAsia" w:ascii="仿宋_GB2312" w:hAnsi="仿宋_GB2312" w:eastAsia="仿宋_GB2312" w:cs="仿宋_GB2312"/>
          <w:sz w:val="32"/>
          <w:szCs w:val="32"/>
        </w:rPr>
        <w:t xml:space="preserve">通过项目实施，为大力弘扬劳模精神，有效激发劳模的创造活力,保障农村劳模生活补助金、困难劳模生活补助金和春节慰问金、健康体检、法律援助等待遇。                               </w:t>
      </w:r>
    </w:p>
    <w:p>
      <w:pPr>
        <w:spacing w:line="58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rPr>
        <w:t>（4）送温暖专项资金项目绩效目标</w:t>
      </w:r>
      <w:r>
        <w:rPr>
          <w:rFonts w:hint="eastAsia" w:ascii="仿宋_GB2312" w:hAnsi="仿宋_GB2312" w:eastAsia="仿宋_GB2312" w:cs="仿宋_GB2312"/>
          <w:sz w:val="32"/>
          <w:szCs w:val="32"/>
        </w:rPr>
        <w:t>完成情况综述。项目全年预算数35万元，执行数为35万元，完成预算的100%。通过项目实施，保障好困难职工最关心、最直接、最现实的利益问题，帮助困难职工渡过温馨详和的元旦、春节，促进职工队伍稳定，维护社会和谐稳定。</w:t>
      </w:r>
    </w:p>
    <w:p>
      <w:pPr>
        <w:spacing w:line="580" w:lineRule="exact"/>
        <w:ind w:firstLine="320" w:firstLineChars="100"/>
        <w:rPr>
          <w:rFonts w:hint="eastAsia" w:ascii="Calibri" w:hAnsi="Calibri"/>
        </w:rPr>
      </w:pPr>
      <w:r>
        <w:rPr>
          <w:rFonts w:hint="eastAsia" w:ascii="仿宋_GB2312" w:hAnsi="仿宋_GB2312" w:eastAsia="仿宋_GB2312" w:cs="仿宋_GB2312"/>
          <w:sz w:val="32"/>
          <w:szCs w:val="32"/>
        </w:rPr>
        <w:t>（5）困难职工帮扶项目绩效目标完成情况综述。项目全年预算数40万元，执行数为40万元，完成预算的100%。通过项目实施，保障困难职工得到帮扶救助，实现帮扶全覆盖，无遗漏，让困难职工得到救助，缓解其生活困难。</w:t>
      </w:r>
    </w:p>
    <w:p>
      <w:pPr>
        <w:spacing w:line="580" w:lineRule="exact"/>
        <w:rPr>
          <w:rFonts w:ascii="仿宋" w:hAnsi="仿宋" w:eastAsia="仿宋" w:cs="楷体_GB2312"/>
          <w:b/>
          <w:bCs/>
          <w:sz w:val="32"/>
          <w:szCs w:val="32"/>
        </w:rPr>
      </w:pPr>
    </w:p>
    <w:tbl>
      <w:tblPr>
        <w:tblStyle w:val="14"/>
        <w:tblpPr w:leftFromText="180" w:rightFromText="180" w:vertAnchor="text" w:horzAnchor="page" w:tblpXSpec="center" w:tblpY="423"/>
        <w:tblOverlap w:val="never"/>
        <w:tblW w:w="0" w:type="auto"/>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1.困难职工帮扶救助2.特困职工深度帮扶行动专项资金3.元旦春节送温暖4州级劳动模范专项资金5.工会专项业务经费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阿坝州总工会</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 xml:space="preserve">项目1：40万 </w:t>
            </w:r>
          </w:p>
          <w:p>
            <w:pPr>
              <w:widowControl/>
              <w:jc w:val="left"/>
              <w:textAlignment w:val="center"/>
              <w:rPr>
                <w:rFonts w:ascii="宋体" w:hAnsi="宋体" w:cs="宋体"/>
                <w:color w:val="000000"/>
                <w:sz w:val="24"/>
              </w:rPr>
            </w:pPr>
            <w:r>
              <w:rPr>
                <w:rFonts w:hint="eastAsia" w:ascii="宋体" w:hAnsi="宋体" w:cs="宋体"/>
                <w:color w:val="000000"/>
                <w:sz w:val="24"/>
              </w:rPr>
              <w:t>项目</w:t>
            </w:r>
            <w:r>
              <w:rPr>
                <w:rFonts w:ascii="宋体" w:hAnsi="宋体" w:cs="宋体"/>
                <w:color w:val="000000"/>
                <w:sz w:val="24"/>
              </w:rPr>
              <w:t>2</w:t>
            </w:r>
            <w:r>
              <w:rPr>
                <w:rFonts w:hint="eastAsia" w:ascii="宋体" w:hAnsi="宋体" w:cs="宋体"/>
                <w:color w:val="000000"/>
                <w:sz w:val="24"/>
              </w:rPr>
              <w:t>：100万</w:t>
            </w:r>
          </w:p>
          <w:p>
            <w:pPr>
              <w:widowControl/>
              <w:jc w:val="left"/>
              <w:textAlignment w:val="center"/>
              <w:rPr>
                <w:rFonts w:ascii="宋体" w:hAnsi="宋体" w:cs="宋体"/>
                <w:color w:val="000000"/>
                <w:sz w:val="24"/>
              </w:rPr>
            </w:pPr>
            <w:r>
              <w:rPr>
                <w:rFonts w:hint="eastAsia" w:ascii="宋体" w:hAnsi="宋体" w:cs="宋体"/>
                <w:color w:val="000000"/>
                <w:sz w:val="24"/>
              </w:rPr>
              <w:t>项目3: 35万</w:t>
            </w:r>
          </w:p>
          <w:p>
            <w:pPr>
              <w:widowControl/>
              <w:jc w:val="left"/>
              <w:textAlignment w:val="center"/>
              <w:rPr>
                <w:rFonts w:ascii="宋体" w:hAnsi="宋体" w:cs="宋体"/>
                <w:color w:val="000000"/>
                <w:sz w:val="24"/>
              </w:rPr>
            </w:pPr>
            <w:r>
              <w:rPr>
                <w:rFonts w:hint="eastAsia" w:ascii="宋体" w:hAnsi="宋体" w:cs="宋体"/>
                <w:color w:val="000000"/>
                <w:sz w:val="24"/>
              </w:rPr>
              <w:t>项目4: 28万</w:t>
            </w:r>
          </w:p>
          <w:p>
            <w:pPr>
              <w:widowControl/>
              <w:jc w:val="left"/>
              <w:textAlignment w:val="center"/>
              <w:rPr>
                <w:rFonts w:ascii="宋体" w:hAnsi="宋体" w:cs="宋体"/>
                <w:color w:val="000000"/>
                <w:sz w:val="24"/>
              </w:rPr>
            </w:pPr>
            <w:r>
              <w:rPr>
                <w:rFonts w:hint="eastAsia" w:ascii="宋体" w:hAnsi="宋体" w:cs="宋体"/>
                <w:color w:val="000000"/>
                <w:sz w:val="24"/>
              </w:rPr>
              <w:t>项目5：30万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 xml:space="preserve">项目1：40万 </w:t>
            </w:r>
          </w:p>
          <w:p>
            <w:pPr>
              <w:widowControl/>
              <w:jc w:val="left"/>
              <w:textAlignment w:val="center"/>
              <w:rPr>
                <w:rFonts w:ascii="宋体" w:hAnsi="宋体" w:cs="宋体"/>
                <w:color w:val="000000"/>
                <w:sz w:val="24"/>
              </w:rPr>
            </w:pPr>
            <w:r>
              <w:rPr>
                <w:rFonts w:hint="eastAsia" w:ascii="宋体" w:hAnsi="宋体" w:cs="宋体"/>
                <w:color w:val="000000"/>
                <w:sz w:val="24"/>
              </w:rPr>
              <w:t>项目2：100万</w:t>
            </w:r>
          </w:p>
          <w:p>
            <w:pPr>
              <w:widowControl/>
              <w:jc w:val="left"/>
              <w:textAlignment w:val="center"/>
              <w:rPr>
                <w:rFonts w:ascii="宋体" w:hAnsi="宋体" w:cs="宋体"/>
                <w:color w:val="000000"/>
                <w:sz w:val="24"/>
              </w:rPr>
            </w:pPr>
            <w:r>
              <w:rPr>
                <w:rFonts w:hint="eastAsia" w:ascii="宋体" w:hAnsi="宋体" w:cs="宋体"/>
                <w:color w:val="000000"/>
                <w:sz w:val="24"/>
              </w:rPr>
              <w:t>项目3: 35万</w:t>
            </w:r>
          </w:p>
          <w:p>
            <w:pPr>
              <w:widowControl/>
              <w:jc w:val="left"/>
              <w:textAlignment w:val="center"/>
              <w:rPr>
                <w:rFonts w:ascii="宋体" w:hAnsi="宋体" w:cs="宋体"/>
                <w:color w:val="000000"/>
                <w:sz w:val="24"/>
              </w:rPr>
            </w:pPr>
            <w:r>
              <w:rPr>
                <w:rFonts w:hint="eastAsia" w:ascii="宋体" w:hAnsi="宋体" w:cs="宋体"/>
                <w:color w:val="000000"/>
                <w:sz w:val="24"/>
              </w:rPr>
              <w:t>项目4: 28万</w:t>
            </w:r>
          </w:p>
          <w:p>
            <w:pPr>
              <w:widowControl/>
              <w:jc w:val="left"/>
              <w:textAlignment w:val="center"/>
              <w:rPr>
                <w:rFonts w:ascii="宋体" w:hAnsi="宋体" w:cs="宋体"/>
                <w:color w:val="000000"/>
                <w:sz w:val="24"/>
              </w:rPr>
            </w:pPr>
            <w:r>
              <w:rPr>
                <w:rFonts w:hint="eastAsia" w:ascii="宋体" w:hAnsi="宋体" w:cs="宋体"/>
                <w:color w:val="000000"/>
                <w:sz w:val="24"/>
              </w:rPr>
              <w:t>项目5：30万</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 xml:space="preserve">项目1：40万 </w:t>
            </w:r>
          </w:p>
          <w:p>
            <w:pPr>
              <w:widowControl/>
              <w:jc w:val="left"/>
              <w:textAlignment w:val="center"/>
              <w:rPr>
                <w:rFonts w:ascii="宋体" w:hAnsi="宋体" w:cs="宋体"/>
                <w:color w:val="000000"/>
                <w:sz w:val="24"/>
              </w:rPr>
            </w:pPr>
            <w:r>
              <w:rPr>
                <w:rFonts w:hint="eastAsia" w:ascii="宋体" w:hAnsi="宋体" w:cs="宋体"/>
                <w:color w:val="000000"/>
                <w:sz w:val="24"/>
              </w:rPr>
              <w:t>项目2：100万</w:t>
            </w:r>
          </w:p>
          <w:p>
            <w:pPr>
              <w:widowControl/>
              <w:jc w:val="left"/>
              <w:textAlignment w:val="center"/>
              <w:rPr>
                <w:rFonts w:ascii="宋体" w:hAnsi="宋体" w:cs="宋体"/>
                <w:color w:val="000000"/>
                <w:sz w:val="24"/>
              </w:rPr>
            </w:pPr>
            <w:r>
              <w:rPr>
                <w:rFonts w:hint="eastAsia" w:ascii="宋体" w:hAnsi="宋体" w:cs="宋体"/>
                <w:color w:val="000000"/>
                <w:sz w:val="24"/>
              </w:rPr>
              <w:t>项目3: 35万</w:t>
            </w:r>
          </w:p>
          <w:p>
            <w:pPr>
              <w:widowControl/>
              <w:jc w:val="left"/>
              <w:textAlignment w:val="center"/>
              <w:rPr>
                <w:rFonts w:ascii="宋体" w:hAnsi="宋体" w:cs="宋体"/>
                <w:color w:val="000000"/>
                <w:sz w:val="24"/>
              </w:rPr>
            </w:pPr>
            <w:r>
              <w:rPr>
                <w:rFonts w:hint="eastAsia" w:ascii="宋体" w:hAnsi="宋体" w:cs="宋体"/>
                <w:color w:val="000000"/>
                <w:sz w:val="24"/>
              </w:rPr>
              <w:t>项目4: 28万</w:t>
            </w:r>
          </w:p>
          <w:p>
            <w:pPr>
              <w:widowControl/>
              <w:jc w:val="left"/>
              <w:textAlignment w:val="center"/>
              <w:rPr>
                <w:rFonts w:ascii="宋体" w:hAnsi="宋体" w:cs="宋体"/>
                <w:color w:val="000000"/>
                <w:sz w:val="24"/>
              </w:rPr>
            </w:pPr>
            <w:r>
              <w:rPr>
                <w:rFonts w:hint="eastAsia" w:ascii="宋体" w:hAnsi="宋体" w:cs="宋体"/>
                <w:color w:val="000000"/>
                <w:sz w:val="24"/>
              </w:rPr>
              <w:t>项目5：30万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 xml:space="preserve">项目1：40万 </w:t>
            </w:r>
          </w:p>
          <w:p>
            <w:pPr>
              <w:widowControl/>
              <w:jc w:val="left"/>
              <w:textAlignment w:val="center"/>
              <w:rPr>
                <w:rFonts w:ascii="宋体" w:hAnsi="宋体" w:cs="宋体"/>
                <w:color w:val="000000"/>
                <w:sz w:val="24"/>
              </w:rPr>
            </w:pPr>
            <w:r>
              <w:rPr>
                <w:rFonts w:hint="eastAsia" w:ascii="宋体" w:hAnsi="宋体" w:cs="宋体"/>
                <w:color w:val="000000"/>
                <w:sz w:val="24"/>
              </w:rPr>
              <w:t>项目2：100万</w:t>
            </w:r>
          </w:p>
          <w:p>
            <w:pPr>
              <w:widowControl/>
              <w:jc w:val="left"/>
              <w:textAlignment w:val="center"/>
              <w:rPr>
                <w:rFonts w:ascii="宋体" w:hAnsi="宋体" w:cs="宋体"/>
                <w:color w:val="000000"/>
                <w:sz w:val="24"/>
              </w:rPr>
            </w:pPr>
            <w:r>
              <w:rPr>
                <w:rFonts w:hint="eastAsia" w:ascii="宋体" w:hAnsi="宋体" w:cs="宋体"/>
                <w:color w:val="000000"/>
                <w:sz w:val="24"/>
              </w:rPr>
              <w:t>项目3: 35万</w:t>
            </w:r>
          </w:p>
          <w:p>
            <w:pPr>
              <w:widowControl/>
              <w:jc w:val="left"/>
              <w:textAlignment w:val="center"/>
              <w:rPr>
                <w:rFonts w:ascii="宋体" w:hAnsi="宋体" w:cs="宋体"/>
                <w:color w:val="000000"/>
                <w:sz w:val="24"/>
              </w:rPr>
            </w:pPr>
            <w:r>
              <w:rPr>
                <w:rFonts w:hint="eastAsia" w:ascii="宋体" w:hAnsi="宋体" w:cs="宋体"/>
                <w:color w:val="000000"/>
                <w:sz w:val="24"/>
              </w:rPr>
              <w:t>项目4: 28万</w:t>
            </w:r>
          </w:p>
          <w:p>
            <w:pPr>
              <w:widowControl/>
              <w:jc w:val="left"/>
              <w:textAlignment w:val="center"/>
              <w:rPr>
                <w:rFonts w:ascii="宋体" w:hAnsi="宋体" w:cs="宋体"/>
                <w:color w:val="000000"/>
                <w:sz w:val="24"/>
              </w:rPr>
            </w:pPr>
            <w:r>
              <w:rPr>
                <w:rFonts w:hint="eastAsia" w:ascii="宋体" w:hAnsi="宋体" w:cs="宋体"/>
                <w:color w:val="000000"/>
                <w:sz w:val="24"/>
              </w:rPr>
              <w:t>项目5：30万</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1.为进一步协助党委政府继续做好每年对困难职工的帮扶救助工作，充分体现党和政府对全州困难职工群体的深切关怀，参考2018年州财政帮扶资金帮扶使用情况，拟申请2019年州财政困难职工帮扶专项资金40万元，用于全州困难职工（农民工）群体日常生活救助、医疗救助等帮扶救助活动，采取走下去，到基层实地走访慰问困难职工（农民工）及下拨资金到基层工会发放等方式，帮助建档困难职工（农民工）家庭缓解暂时的基本生活困难，努力把职工（农民工）的困难解决在基层，把矛盾化解在萌芽状态，确保每位困难职工能够生活安定，维护社会和谐稳定。</w:t>
            </w:r>
          </w:p>
          <w:p>
            <w:pPr>
              <w:widowControl/>
              <w:jc w:val="left"/>
              <w:textAlignment w:val="center"/>
              <w:rPr>
                <w:rFonts w:ascii="宋体" w:hAnsi="宋体" w:cs="宋体"/>
                <w:color w:val="000000"/>
                <w:sz w:val="24"/>
              </w:rPr>
            </w:pPr>
            <w:r>
              <w:rPr>
                <w:rFonts w:hint="eastAsia" w:ascii="宋体" w:hAnsi="宋体" w:cs="宋体"/>
                <w:color w:val="000000"/>
                <w:sz w:val="24"/>
              </w:rPr>
              <w:t>2.为改善民生，构建和谐社会关系，帮助遭受重大疾病、突发事件、意外伤害及自然灾害导致家庭生活极端困难的特困职工家庭解决生活困难，协助党委政府减轻特困职工负担，让他们充分感受到党和政府的温暖和工会组织的关怀，继续推动我州特困职工深度帮扶工作深入开展。根据《州人民政府与州级群团组织第三次联席会议纪要》（阿府阅〔2016〕1号）每年安排特困职工深度帮扶行动专项资金100万元，拟申请2019年州财政特困职工深度帮扶行动专项资金100万元，用于开展特困职工深度帮扶行动，努力把困难解决在基层，把矛盾化解在萌芽状态，确保每位特困职工能够生活安定，维护社会和谐稳定。</w:t>
            </w:r>
          </w:p>
          <w:p>
            <w:pPr>
              <w:widowControl/>
              <w:jc w:val="left"/>
              <w:textAlignment w:val="center"/>
              <w:rPr>
                <w:rFonts w:ascii="宋体" w:hAnsi="宋体" w:cs="宋体"/>
                <w:color w:val="000000"/>
                <w:sz w:val="24"/>
              </w:rPr>
            </w:pPr>
            <w:r>
              <w:rPr>
                <w:rFonts w:hint="eastAsia" w:ascii="宋体" w:hAnsi="宋体" w:cs="宋体"/>
                <w:color w:val="000000"/>
                <w:sz w:val="24"/>
              </w:rPr>
              <w:t>3.进一步协助党委、政府解决好职工群众最关心、最直接、最现实的利益问题，继续帮助困难职工（农民工）渡过一个温馨祥和的元旦、春节，拟定于2020年元旦春节期间开展送温暖走访慰问困难职工（农民工）活动。参考2018年州财政送温暖资金使用，拟申请2019年州财政送温暖专项资金35万元。</w:t>
            </w:r>
          </w:p>
          <w:p>
            <w:pPr>
              <w:widowControl/>
              <w:jc w:val="left"/>
              <w:textAlignment w:val="center"/>
              <w:rPr>
                <w:rFonts w:ascii="宋体" w:hAnsi="宋体" w:cs="宋体"/>
                <w:color w:val="000000"/>
                <w:sz w:val="24"/>
              </w:rPr>
            </w:pPr>
            <w:r>
              <w:rPr>
                <w:rFonts w:hint="eastAsia" w:ascii="宋体" w:hAnsi="宋体" w:cs="宋体"/>
                <w:color w:val="000000"/>
                <w:sz w:val="24"/>
              </w:rPr>
              <w:t>4.为大力弘扬劳模精神，有效激发劳模的创造活力，营造尊重劳模、争当劳模的浓厚氛围，州政府落实阿坝州州级劳模提高一次性奖励标准、发放农村劳模生活补助金、困难劳模生活补助金和春节慰问金、健康体检、法律援助等待遇。、</w:t>
            </w:r>
          </w:p>
          <w:p>
            <w:pPr>
              <w:widowControl/>
              <w:jc w:val="left"/>
              <w:textAlignment w:val="center"/>
              <w:rPr>
                <w:rFonts w:ascii="宋体" w:hAnsi="宋体" w:cs="宋体"/>
                <w:color w:val="000000"/>
                <w:sz w:val="24"/>
              </w:rPr>
            </w:pPr>
            <w:r>
              <w:rPr>
                <w:rFonts w:hint="eastAsia" w:ascii="宋体" w:hAnsi="宋体" w:cs="宋体"/>
                <w:color w:val="000000"/>
                <w:sz w:val="24"/>
              </w:rPr>
              <w:t>5.以保障常委主席工作的顺利开展和确保各级工会组织工作开展的需要。</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5个项目均已完成</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top"/>
              <w:rPr>
                <w:rFonts w:ascii="宋体" w:hAnsi="宋体" w:cs="宋体"/>
                <w:color w:val="000000"/>
                <w:sz w:val="24"/>
              </w:rPr>
            </w:pPr>
            <w:r>
              <w:rPr>
                <w:rFonts w:hint="eastAsia" w:ascii="宋体" w:hAnsi="宋体" w:cs="宋体"/>
                <w:color w:val="000000"/>
                <w:sz w:val="24"/>
              </w:rPr>
              <w:t>1.预计当年帮扶300-400人次</w:t>
            </w:r>
          </w:p>
          <w:p>
            <w:pPr>
              <w:widowControl/>
              <w:jc w:val="left"/>
              <w:textAlignment w:val="top"/>
              <w:rPr>
                <w:rFonts w:ascii="宋体" w:hAnsi="宋体" w:cs="宋体"/>
                <w:color w:val="000000"/>
                <w:sz w:val="24"/>
              </w:rPr>
            </w:pPr>
            <w:r>
              <w:rPr>
                <w:rFonts w:hint="eastAsia" w:ascii="宋体" w:hAnsi="宋体" w:cs="宋体"/>
                <w:color w:val="000000"/>
                <w:sz w:val="24"/>
              </w:rPr>
              <w:t>2.预计当年帮扶100-200名特困职工。3. 预计当年慰问350-400人次。</w:t>
            </w:r>
          </w:p>
          <w:p>
            <w:pPr>
              <w:widowControl/>
              <w:jc w:val="left"/>
              <w:textAlignment w:val="top"/>
              <w:rPr>
                <w:rFonts w:ascii="宋体" w:hAnsi="宋体" w:cs="宋体"/>
                <w:color w:val="000000"/>
                <w:sz w:val="24"/>
              </w:rPr>
            </w:pPr>
            <w:r>
              <w:rPr>
                <w:rFonts w:hint="eastAsia" w:ascii="宋体" w:hAnsi="宋体" w:cs="宋体"/>
                <w:color w:val="000000"/>
                <w:sz w:val="24"/>
              </w:rPr>
              <w:t>4.预计当年慰问、补助州级劳模288人次。</w:t>
            </w:r>
          </w:p>
          <w:p>
            <w:pPr>
              <w:widowControl/>
              <w:jc w:val="left"/>
              <w:textAlignment w:val="top"/>
              <w:rPr>
                <w:rFonts w:ascii="宋体" w:hAnsi="宋体" w:cs="宋体"/>
                <w:color w:val="000000"/>
                <w:sz w:val="24"/>
              </w:rPr>
            </w:pPr>
            <w:r>
              <w:rPr>
                <w:rFonts w:hint="eastAsia" w:ascii="宋体" w:hAnsi="宋体" w:cs="宋体"/>
                <w:color w:val="000000"/>
                <w:sz w:val="24"/>
              </w:rPr>
              <w:t>5.完成任务数占计划数比例</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1.按生活救助1000元/人/年、医疗救助1500元/人/年的标准，预计当年帮扶困难职工300-400人次，实际帮扶人次分配按当年项目实施情况确定。2.暂定按5000-10000元/人/年标准，预计当年帮扶特困职工100-2003人，实际帮扶人数按当年特困职工数及当年帮扶标准确定。3.按送温暖800-1000元/人/年标准，预计当年送温暖慰问困难职工300-400人次，实际慰问人次按当年帮扶项目实施情况确定。</w:t>
            </w:r>
          </w:p>
          <w:p>
            <w:pPr>
              <w:widowControl/>
              <w:jc w:val="left"/>
              <w:textAlignment w:val="center"/>
              <w:rPr>
                <w:rFonts w:ascii="宋体" w:hAnsi="宋体" w:cs="宋体"/>
                <w:color w:val="000000"/>
                <w:sz w:val="24"/>
              </w:rPr>
            </w:pPr>
            <w:r>
              <w:rPr>
                <w:rFonts w:hint="eastAsia" w:ascii="宋体" w:hAnsi="宋体" w:cs="宋体"/>
                <w:color w:val="000000"/>
                <w:sz w:val="24"/>
              </w:rPr>
              <w:t>4.预计按照州级劳模春节慰问金900元/人/年标准，慰问州级劳模242人；按州级农村劳模生活补助1200元/人/年标准，补助州级农村劳模32人；按州级农村困难劳模生活补助1200元/人/年标准，补助州级农村困难劳模9人；按州级城镇困难劳模生活补助2400元/人/年标准，补助州级城镇困难劳模5人。5.100%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全部完成</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1.缓解困难职工家庭基本生活困难。</w:t>
            </w:r>
          </w:p>
          <w:p>
            <w:pPr>
              <w:widowControl/>
              <w:jc w:val="left"/>
              <w:textAlignment w:val="center"/>
              <w:rPr>
                <w:rFonts w:ascii="宋体" w:hAnsi="宋体" w:cs="宋体"/>
                <w:color w:val="000000"/>
                <w:sz w:val="24"/>
              </w:rPr>
            </w:pPr>
            <w:r>
              <w:rPr>
                <w:rFonts w:hint="eastAsia" w:ascii="宋体" w:hAnsi="宋体" w:cs="宋体"/>
                <w:color w:val="000000"/>
                <w:sz w:val="24"/>
              </w:rPr>
              <w:t>2.减轻特困职工家庭负担。</w:t>
            </w:r>
          </w:p>
          <w:p>
            <w:pPr>
              <w:widowControl/>
              <w:jc w:val="left"/>
              <w:textAlignment w:val="center"/>
              <w:rPr>
                <w:rFonts w:ascii="宋体" w:hAnsi="宋体" w:cs="宋体"/>
                <w:color w:val="000000"/>
                <w:sz w:val="24"/>
              </w:rPr>
            </w:pPr>
            <w:r>
              <w:rPr>
                <w:rFonts w:hint="eastAsia" w:ascii="宋体" w:hAnsi="宋体" w:cs="宋体"/>
                <w:color w:val="000000"/>
                <w:sz w:val="24"/>
              </w:rPr>
              <w:t>3.为困难职工送去元旦、春节慰问。</w:t>
            </w:r>
          </w:p>
          <w:p>
            <w:pPr>
              <w:widowControl/>
              <w:jc w:val="left"/>
              <w:textAlignment w:val="center"/>
              <w:rPr>
                <w:rFonts w:ascii="宋体" w:hAnsi="宋体" w:cs="宋体"/>
                <w:color w:val="000000"/>
                <w:sz w:val="24"/>
              </w:rPr>
            </w:pPr>
            <w:r>
              <w:rPr>
                <w:rFonts w:hint="eastAsia" w:ascii="宋体" w:hAnsi="宋体" w:cs="宋体"/>
                <w:color w:val="000000"/>
                <w:sz w:val="24"/>
              </w:rPr>
              <w:t>4.落实州级劳模各项待遇。5.工会专项业务完成情况</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按困难职工困难类别，分类实施帮扶救助，暂时缓解困难职工家庭基本生活困难。</w:t>
            </w:r>
          </w:p>
          <w:p>
            <w:pPr>
              <w:widowControl/>
              <w:jc w:val="left"/>
              <w:textAlignment w:val="center"/>
              <w:rPr>
                <w:rFonts w:ascii="宋体" w:hAnsi="宋体" w:cs="宋体"/>
                <w:color w:val="000000"/>
                <w:sz w:val="24"/>
              </w:rPr>
            </w:pPr>
            <w:r>
              <w:rPr>
                <w:rFonts w:hint="eastAsia" w:ascii="宋体" w:hAnsi="宋体" w:cs="宋体"/>
                <w:color w:val="000000"/>
                <w:sz w:val="24"/>
              </w:rPr>
              <w:t>2.为符合条件的特困职工减轻家庭负担，缓解其生活困难。3.为困难职工送去元旦春节的节日慰问，缓解其家庭生活困难。4.每年开展州级劳模生活困难调查工作，申报州级劳模各类困难补助，开展元旦春节慰问活动等，落实州级劳模各项待遇。</w:t>
            </w:r>
          </w:p>
          <w:p>
            <w:pPr>
              <w:widowControl/>
              <w:jc w:val="left"/>
              <w:textAlignment w:val="center"/>
              <w:rPr>
                <w:rFonts w:ascii="宋体" w:hAnsi="宋体" w:cs="宋体"/>
                <w:color w:val="000000"/>
                <w:sz w:val="24"/>
              </w:rPr>
            </w:pPr>
            <w:r>
              <w:rPr>
                <w:rFonts w:hint="eastAsia" w:ascii="宋体" w:hAnsi="宋体" w:cs="宋体"/>
                <w:color w:val="000000"/>
                <w:sz w:val="24"/>
              </w:rPr>
              <w:t>5.按专项业务资金要求，确保各级工会组织工作开展的需要</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全部完成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1.全年实施帮扶。</w:t>
            </w:r>
          </w:p>
          <w:p>
            <w:pPr>
              <w:widowControl/>
              <w:jc w:val="left"/>
              <w:textAlignment w:val="center"/>
              <w:rPr>
                <w:rFonts w:ascii="宋体" w:hAnsi="宋体" w:cs="宋体"/>
                <w:color w:val="000000"/>
                <w:sz w:val="24"/>
              </w:rPr>
            </w:pPr>
            <w:r>
              <w:rPr>
                <w:rFonts w:hint="eastAsia" w:ascii="宋体" w:hAnsi="宋体" w:cs="宋体"/>
                <w:color w:val="000000"/>
                <w:sz w:val="24"/>
              </w:rPr>
              <w:t>2当年第四季度实施深度帮扶。</w:t>
            </w:r>
          </w:p>
          <w:p>
            <w:pPr>
              <w:widowControl/>
              <w:jc w:val="left"/>
              <w:textAlignment w:val="center"/>
              <w:rPr>
                <w:rFonts w:ascii="宋体" w:hAnsi="宋体" w:cs="宋体"/>
                <w:color w:val="000000"/>
                <w:sz w:val="24"/>
              </w:rPr>
            </w:pPr>
            <w:r>
              <w:rPr>
                <w:rFonts w:hint="eastAsia" w:ascii="宋体" w:hAnsi="宋体" w:cs="宋体"/>
                <w:color w:val="000000"/>
                <w:sz w:val="24"/>
              </w:rPr>
              <w:t>3.2020年元旦、春节前夕实施</w:t>
            </w:r>
          </w:p>
          <w:p>
            <w:pPr>
              <w:widowControl/>
              <w:jc w:val="left"/>
              <w:textAlignment w:val="center"/>
              <w:rPr>
                <w:rFonts w:ascii="宋体" w:hAnsi="宋体" w:cs="宋体"/>
                <w:color w:val="000000"/>
                <w:sz w:val="24"/>
              </w:rPr>
            </w:pPr>
            <w:r>
              <w:rPr>
                <w:rFonts w:hint="eastAsia" w:ascii="宋体" w:hAnsi="宋体" w:cs="宋体"/>
                <w:color w:val="000000"/>
                <w:sz w:val="24"/>
              </w:rPr>
              <w:t>4.第四季度。5.2019年10月-12月完成计划</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1.按全州帮扶项目立项实施情况，实施帮扶。</w:t>
            </w:r>
          </w:p>
          <w:p>
            <w:pPr>
              <w:widowControl/>
              <w:jc w:val="left"/>
              <w:textAlignment w:val="center"/>
              <w:rPr>
                <w:rFonts w:ascii="宋体" w:hAnsi="宋体" w:cs="宋体"/>
                <w:color w:val="000000"/>
                <w:sz w:val="24"/>
              </w:rPr>
            </w:pPr>
            <w:r>
              <w:rPr>
                <w:rFonts w:hint="eastAsia" w:ascii="宋体" w:hAnsi="宋体" w:cs="宋体"/>
                <w:color w:val="000000"/>
                <w:sz w:val="24"/>
              </w:rPr>
              <w:t>2.当年10月开展调查审核申报工作，11月至12月，采取走下去，实地走访慰问及下拨资金至基层工会发放等形式开展深度帮扶。</w:t>
            </w:r>
          </w:p>
          <w:p>
            <w:pPr>
              <w:widowControl/>
              <w:jc w:val="left"/>
              <w:textAlignment w:val="center"/>
              <w:rPr>
                <w:rFonts w:ascii="宋体" w:hAnsi="宋体" w:cs="宋体"/>
                <w:color w:val="000000"/>
                <w:sz w:val="24"/>
              </w:rPr>
            </w:pPr>
            <w:r>
              <w:rPr>
                <w:rFonts w:hint="eastAsia" w:ascii="宋体" w:hAnsi="宋体" w:cs="宋体"/>
                <w:color w:val="000000"/>
                <w:sz w:val="24"/>
              </w:rPr>
              <w:t>3.按送温暖资金使用原则和方向，在元旦、春节前夕走访慰问困难职工。</w:t>
            </w:r>
          </w:p>
          <w:p>
            <w:pPr>
              <w:widowControl/>
              <w:jc w:val="left"/>
              <w:textAlignment w:val="center"/>
              <w:rPr>
                <w:rFonts w:ascii="宋体" w:hAnsi="宋体" w:cs="宋体"/>
                <w:color w:val="000000"/>
                <w:sz w:val="24"/>
              </w:rPr>
            </w:pPr>
            <w:r>
              <w:rPr>
                <w:rFonts w:hint="eastAsia" w:ascii="宋体" w:hAnsi="宋体" w:cs="宋体"/>
                <w:color w:val="000000"/>
                <w:sz w:val="24"/>
              </w:rPr>
              <w:t>4.第四季度发放各类补助及开展春节慰问活动。5.2019年10月-12月完成计划</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全部完成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1.缓解困难职工家庭基本生活困难，确保职工生活安定，维护社会和谐稳定。</w:t>
            </w:r>
          </w:p>
          <w:p>
            <w:pPr>
              <w:widowControl/>
              <w:jc w:val="left"/>
              <w:textAlignment w:val="center"/>
              <w:rPr>
                <w:rFonts w:ascii="宋体" w:hAnsi="宋体" w:cs="宋体"/>
                <w:color w:val="000000"/>
                <w:sz w:val="24"/>
              </w:rPr>
            </w:pPr>
            <w:r>
              <w:rPr>
                <w:rFonts w:hint="eastAsia" w:ascii="宋体" w:hAnsi="宋体" w:cs="宋体"/>
                <w:color w:val="000000"/>
                <w:sz w:val="24"/>
              </w:rPr>
              <w:t>2.切实缓解特困职工家庭实际困难，确保职工生活安定，维护社会和谐稳定。</w:t>
            </w:r>
          </w:p>
          <w:p>
            <w:pPr>
              <w:widowControl/>
              <w:jc w:val="left"/>
              <w:textAlignment w:val="center"/>
              <w:rPr>
                <w:rFonts w:ascii="宋体" w:hAnsi="宋体" w:cs="宋体"/>
                <w:color w:val="000000"/>
                <w:sz w:val="24"/>
              </w:rPr>
            </w:pPr>
            <w:r>
              <w:rPr>
                <w:rFonts w:hint="eastAsia" w:ascii="宋体" w:hAnsi="宋体" w:cs="宋体"/>
                <w:color w:val="000000"/>
                <w:sz w:val="24"/>
              </w:rPr>
              <w:t>3.帮助困难职工渡过温馨详和的元旦、春节，促进职工队伍稳定，维护社会稳定。</w:t>
            </w:r>
          </w:p>
          <w:p>
            <w:pPr>
              <w:widowControl/>
              <w:jc w:val="left"/>
              <w:textAlignment w:val="center"/>
              <w:rPr>
                <w:rFonts w:ascii="宋体" w:hAnsi="宋体" w:cs="宋体"/>
                <w:color w:val="000000"/>
                <w:sz w:val="24"/>
              </w:rPr>
            </w:pPr>
            <w:r>
              <w:rPr>
                <w:rFonts w:hint="eastAsia" w:ascii="宋体" w:hAnsi="宋体" w:cs="宋体"/>
                <w:color w:val="000000"/>
                <w:sz w:val="24"/>
              </w:rPr>
              <w:t>4.落实州级劳模各项待遇，营造尊重劳模、争当劳模良好氛围。5开展工会重点工作.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1.深入基层，实地走访慰问困难职工，切实解决困难职工生活困难，把职工的困难解决在基层，把矛盾化解在萌芽状态，确保职工生活安定，维护社会和谐稳定。</w:t>
            </w:r>
          </w:p>
          <w:p>
            <w:pPr>
              <w:widowControl/>
              <w:jc w:val="left"/>
              <w:textAlignment w:val="center"/>
              <w:rPr>
                <w:rFonts w:ascii="宋体" w:hAnsi="宋体" w:cs="宋体"/>
                <w:color w:val="000000"/>
                <w:sz w:val="24"/>
              </w:rPr>
            </w:pPr>
            <w:r>
              <w:rPr>
                <w:rFonts w:hint="eastAsia" w:ascii="宋体" w:hAnsi="宋体" w:cs="宋体"/>
                <w:color w:val="000000"/>
                <w:sz w:val="24"/>
              </w:rPr>
              <w:t>2.深入基层，走访慰问特困职工，切实缓解特困职工家庭实际困难，减轻特困职工家庭负担，把职工的困难解决在基层，把矛盾化解在萌芽状态，确保职工生活安定，维护社会和谐稳定。3.深入基层，开展元旦、春节送温暖走访慰问活动，协助党委政府解决好困难职工最关心、最直接、最现实的利益问题，帮助困难职工渡过温馨详和的元旦、春节，促进职工队伍稳定，维护社会和谐稳定。</w:t>
            </w:r>
          </w:p>
          <w:p>
            <w:pPr>
              <w:widowControl/>
              <w:jc w:val="left"/>
              <w:textAlignment w:val="center"/>
              <w:rPr>
                <w:rFonts w:ascii="宋体" w:hAnsi="宋体" w:cs="宋体"/>
                <w:color w:val="000000"/>
                <w:sz w:val="24"/>
              </w:rPr>
            </w:pPr>
            <w:r>
              <w:rPr>
                <w:rFonts w:hint="eastAsia" w:ascii="宋体" w:hAnsi="宋体" w:cs="宋体"/>
                <w:color w:val="000000"/>
                <w:sz w:val="24"/>
              </w:rPr>
              <w:t>4.切实落实州级劳模各项待遇，大力弘扬劳模精神，有效激发劳模的创造活力，营造尊重劳模、争当劳模的良好氛围。5.完成工会重点工作，为工会工运事业的健康发展起到推动作用。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全部完成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1.充分体现党委政府及工会组织对困难职工的关心关爱，达到聚人心、暖人心、稳人心的目标。</w:t>
            </w:r>
          </w:p>
          <w:p>
            <w:pPr>
              <w:widowControl/>
              <w:jc w:val="left"/>
              <w:textAlignment w:val="center"/>
              <w:rPr>
                <w:rFonts w:ascii="宋体" w:hAnsi="宋体" w:cs="宋体"/>
                <w:color w:val="000000"/>
                <w:sz w:val="24"/>
              </w:rPr>
            </w:pPr>
            <w:r>
              <w:rPr>
                <w:rFonts w:hint="eastAsia" w:ascii="宋体" w:hAnsi="宋体" w:cs="宋体"/>
                <w:color w:val="000000"/>
                <w:sz w:val="24"/>
              </w:rPr>
              <w:t>2.充分体现党委政府及工会组织对特困职工的关心关爱，达到聚人心、暖人心、稳人心的目标。</w:t>
            </w:r>
          </w:p>
          <w:p>
            <w:pPr>
              <w:widowControl/>
              <w:jc w:val="left"/>
              <w:textAlignment w:val="center"/>
              <w:rPr>
                <w:rFonts w:ascii="宋体" w:hAnsi="宋体" w:cs="宋体"/>
                <w:color w:val="000000"/>
                <w:sz w:val="24"/>
              </w:rPr>
            </w:pPr>
            <w:r>
              <w:rPr>
                <w:rFonts w:hint="eastAsia" w:ascii="宋体" w:hAnsi="宋体" w:cs="宋体"/>
                <w:color w:val="000000"/>
                <w:sz w:val="24"/>
              </w:rPr>
              <w:t>3.充分体现党委政府及工会组织对困难职工的关心关爱，达到聚人心、暖人心、稳人心的目标。</w:t>
            </w:r>
          </w:p>
          <w:p>
            <w:pPr>
              <w:widowControl/>
              <w:jc w:val="left"/>
              <w:textAlignment w:val="center"/>
              <w:rPr>
                <w:rFonts w:ascii="宋体" w:hAnsi="宋体" w:cs="宋体"/>
                <w:color w:val="000000"/>
                <w:sz w:val="24"/>
              </w:rPr>
            </w:pPr>
            <w:r>
              <w:rPr>
                <w:rFonts w:hint="eastAsia" w:ascii="宋体" w:hAnsi="宋体" w:cs="宋体"/>
                <w:color w:val="000000"/>
                <w:sz w:val="24"/>
              </w:rPr>
              <w:t>4.充分体现党委政府及工会组织对劳模的关心关爱，在全社会倡导学习劳模、尊重劳模、关爱劳模、争当劳模的良好风尚。</w:t>
            </w:r>
          </w:p>
          <w:p>
            <w:pPr>
              <w:widowControl/>
              <w:jc w:val="left"/>
              <w:textAlignment w:val="center"/>
              <w:rPr>
                <w:rFonts w:ascii="宋体" w:hAnsi="宋体" w:cs="宋体"/>
                <w:color w:val="000000"/>
                <w:sz w:val="24"/>
              </w:rPr>
            </w:pPr>
            <w:r>
              <w:rPr>
                <w:rFonts w:hint="eastAsia" w:ascii="宋体" w:hAnsi="宋体" w:cs="宋体"/>
                <w:color w:val="000000"/>
                <w:sz w:val="24"/>
              </w:rPr>
              <w:t>5.工会专项业务费使用情况</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1.通过开展困难职工帮扶慰问，传递党委政府及工会组织对困难职工的关心关爱，达到聚人心、暖人心、稳人心的目标，促进职工队伍稳定，维护社会和谐发展。</w:t>
            </w:r>
          </w:p>
          <w:p>
            <w:pPr>
              <w:widowControl/>
              <w:jc w:val="left"/>
              <w:textAlignment w:val="center"/>
              <w:rPr>
                <w:rFonts w:ascii="宋体" w:hAnsi="宋体" w:cs="宋体"/>
                <w:color w:val="000000"/>
                <w:sz w:val="24"/>
              </w:rPr>
            </w:pPr>
            <w:r>
              <w:rPr>
                <w:rFonts w:hint="eastAsia" w:ascii="宋体" w:hAnsi="宋体" w:cs="宋体"/>
                <w:color w:val="000000"/>
                <w:sz w:val="24"/>
              </w:rPr>
              <w:t>2.通过开展特困职工深度帮扶行动，让特困职工家庭充分感受到党委政府及工会组织的关心关爱，达到聚人心、暖人心、稳人心的目标，促进职工队伍稳定，维护社会和谐发展。</w:t>
            </w:r>
          </w:p>
          <w:p>
            <w:pPr>
              <w:widowControl/>
              <w:jc w:val="left"/>
              <w:textAlignment w:val="center"/>
              <w:rPr>
                <w:rFonts w:ascii="宋体" w:hAnsi="宋体" w:cs="宋体"/>
                <w:color w:val="000000"/>
                <w:sz w:val="24"/>
              </w:rPr>
            </w:pPr>
            <w:r>
              <w:rPr>
                <w:rFonts w:hint="eastAsia" w:ascii="宋体" w:hAnsi="宋体" w:cs="宋体"/>
                <w:color w:val="000000"/>
                <w:sz w:val="24"/>
              </w:rPr>
              <w:t>3 通过开展元旦、春节送温暖走访慰问活动，传递党委政府及工会组织对困难职工的关心关爱，达到聚人心、暖人心、稳人心的目标，促进职工队伍稳定、维护社会和谐稳定。4.充分体现党委政府及工会组织对劳模的关心关爱，大力弘扬工人阶级伟大品格和劳模精神，引领广大职工充分发挥主力军作用，在全社会倡导学习劳模、尊重劳模、关爱劳模、争当劳模的良好风尚。5.为工会组织持续发展起到推动作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全部完成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1确保每名建档困难职工得到帮扶救助，实现帮扶救助全覆盖，无遗漏，让职工满意。</w:t>
            </w:r>
          </w:p>
          <w:p>
            <w:pPr>
              <w:pStyle w:val="25"/>
              <w:widowControl/>
              <w:numPr>
                <w:ilvl w:val="0"/>
                <w:numId w:val="2"/>
              </w:numPr>
              <w:ind w:firstLineChars="0"/>
              <w:jc w:val="left"/>
              <w:textAlignment w:val="center"/>
              <w:rPr>
                <w:rFonts w:ascii="宋体" w:hAnsi="宋体" w:cs="宋体"/>
                <w:color w:val="000000"/>
                <w:sz w:val="24"/>
              </w:rPr>
            </w:pPr>
            <w:r>
              <w:rPr>
                <w:rFonts w:hint="eastAsia" w:ascii="宋体" w:hAnsi="宋体" w:cs="宋体"/>
                <w:color w:val="000000"/>
                <w:sz w:val="24"/>
              </w:rPr>
              <w:t>确保每名符合帮扶条件的特困职工得到深度帮扶，实现帮扶全覆盖，无遗漏，让职工满意3.在元旦、春节前将党委政府及工会组织的关心关爱送到困难职工手中，帮助他们渡过温馨详和的元旦、春节，让职工满意。</w:t>
            </w:r>
          </w:p>
          <w:p>
            <w:pPr>
              <w:pStyle w:val="25"/>
              <w:widowControl/>
              <w:numPr>
                <w:ilvl w:val="0"/>
                <w:numId w:val="2"/>
              </w:numPr>
              <w:ind w:firstLineChars="0"/>
              <w:jc w:val="left"/>
              <w:textAlignment w:val="center"/>
              <w:rPr>
                <w:rFonts w:ascii="宋体" w:hAnsi="宋体" w:cs="宋体"/>
                <w:color w:val="000000"/>
                <w:sz w:val="24"/>
              </w:rPr>
            </w:pPr>
            <w:r>
              <w:rPr>
                <w:rFonts w:hint="eastAsia" w:ascii="宋体" w:hAnsi="宋体" w:cs="宋体"/>
                <w:color w:val="000000"/>
                <w:sz w:val="24"/>
              </w:rPr>
              <w:t>切实落实州级劳模各项待遇，做好劳模服务与管理，让劳模满意。</w:t>
            </w:r>
          </w:p>
          <w:p>
            <w:pPr>
              <w:pStyle w:val="25"/>
              <w:widowControl/>
              <w:numPr>
                <w:ilvl w:val="0"/>
                <w:numId w:val="2"/>
              </w:numPr>
              <w:ind w:firstLineChars="0"/>
              <w:jc w:val="left"/>
              <w:textAlignment w:val="center"/>
              <w:rPr>
                <w:rFonts w:ascii="宋体" w:hAnsi="宋体" w:cs="宋体"/>
                <w:color w:val="000000"/>
                <w:sz w:val="24"/>
              </w:rPr>
            </w:pPr>
            <w:r>
              <w:rPr>
                <w:rFonts w:hint="eastAsia" w:ascii="宋体" w:hAnsi="宋体" w:cs="宋体"/>
                <w:color w:val="000000"/>
                <w:sz w:val="24"/>
              </w:rPr>
              <w:t>.5.各基层工会会员满意度100%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1.通过全州帮扶工作项目运行，对建档困难职工分类实施帮扶救助，确保每名建档困难职工得到帮扶救助，实现帮扶全覆盖，无遗漏，让职工得到救助，缓解其家庭基本生活困难，让职工满意</w:t>
            </w:r>
          </w:p>
          <w:p>
            <w:pPr>
              <w:widowControl/>
              <w:jc w:val="left"/>
              <w:textAlignment w:val="center"/>
              <w:rPr>
                <w:rFonts w:ascii="宋体" w:hAnsi="宋体" w:cs="宋体"/>
                <w:color w:val="000000"/>
                <w:sz w:val="24"/>
              </w:rPr>
            </w:pPr>
            <w:r>
              <w:rPr>
                <w:rFonts w:hint="eastAsia" w:ascii="宋体" w:hAnsi="宋体" w:cs="宋体"/>
                <w:color w:val="000000"/>
                <w:sz w:val="24"/>
              </w:rPr>
              <w:t>2. 通过每年开展特困职工深度帮扶行动，确保每名符合帮扶条件的特困职工家庭得到深度帮扶，实现帮扶全覆盖，无遗漏，让职工满意，为特困职工筑牢生命屏障。3. 通过全州帮扶工作项目化运行，通过开展元旦春节送温暖慰问活动，将党委政府及工会组织的关心关爱送到困难职工手中，帮扶他们渡过温馨详和的元旦、春节，让职工满意。4认真开展州级劳模生活困难情况调查审核，劳模健康体检，各类补助、春节慰问金申报等工作，切实落实州级劳模各项待遇，做好劳模服务与管理工作，让劳模满意。5为基层工会组织和职工服好务，充分发挥工会组织的作用，让他们感受到工会组织的关爱。.</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全部完成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bl>
    <w:p>
      <w:pPr>
        <w:spacing w:line="580" w:lineRule="exact"/>
        <w:rPr>
          <w:rFonts w:ascii="仿宋" w:hAnsi="仿宋" w:eastAsia="仿宋" w:cs="楷体_GB2312"/>
          <w:b/>
          <w:bCs/>
          <w:sz w:val="44"/>
          <w:szCs w:val="44"/>
        </w:rPr>
      </w:pPr>
    </w:p>
    <w:p>
      <w:pPr>
        <w:spacing w:line="580" w:lineRule="exact"/>
        <w:rPr>
          <w:rFonts w:ascii="仿宋" w:hAnsi="仿宋" w:eastAsia="仿宋" w:cs="仿宋_GB2312"/>
          <w:color w:val="FF0000"/>
          <w:sz w:val="32"/>
          <w:szCs w:val="32"/>
        </w:rPr>
      </w:pPr>
      <w:r>
        <w:rPr>
          <w:rFonts w:hint="eastAsia" w:ascii="仿宋" w:hAnsi="仿宋" w:eastAsia="仿宋" w:cs="楷体_GB2312"/>
          <w:b/>
          <w:bCs/>
          <w:sz w:val="32"/>
          <w:szCs w:val="32"/>
        </w:rPr>
        <w:t>2部门开展绩效评价结果。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本部门按要求对2019年部门整体支出绩效评价情况开展自评，《阿坝州总工会2020年部门整体支出绩效评价报告》见附件。</w:t>
      </w:r>
    </w:p>
    <w:p>
      <w:pPr>
        <w:pStyle w:val="2"/>
      </w:pPr>
    </w:p>
    <w:p>
      <w:pPr>
        <w:widowControl/>
        <w:ind w:firstLine="2209" w:firstLineChars="500"/>
        <w:jc w:val="left"/>
        <w:rPr>
          <w:rFonts w:ascii="黑体" w:hAnsi="黑体" w:eastAsia="黑体"/>
          <w:b/>
          <w:color w:val="000000"/>
          <w:sz w:val="44"/>
          <w:szCs w:val="44"/>
        </w:rPr>
      </w:pPr>
      <w:bookmarkStart w:id="48" w:name="_Toc15377225"/>
      <w:bookmarkStart w:id="49" w:name="_Toc15396613"/>
    </w:p>
    <w:p>
      <w:pPr>
        <w:widowControl/>
        <w:ind w:firstLine="2209" w:firstLineChars="500"/>
        <w:jc w:val="left"/>
        <w:rPr>
          <w:rFonts w:ascii="宋体"/>
          <w:b/>
          <w:color w:val="000000"/>
          <w:sz w:val="44"/>
          <w:szCs w:val="44"/>
        </w:rPr>
      </w:pPr>
      <w:r>
        <w:rPr>
          <w:rFonts w:hint="eastAsia" w:ascii="黑体" w:hAnsi="黑体" w:eastAsia="黑体"/>
          <w:b/>
          <w:color w:val="000000"/>
          <w:sz w:val="44"/>
          <w:szCs w:val="44"/>
        </w:rPr>
        <w:t>第三部分 名</w:t>
      </w:r>
      <w:r>
        <w:rPr>
          <w:rStyle w:val="26"/>
          <w:rFonts w:hint="eastAsia" w:ascii="黑体" w:hAnsi="黑体" w:eastAsia="黑体"/>
          <w:b w:val="0"/>
        </w:rPr>
        <w:t>词解释</w:t>
      </w:r>
      <w:bookmarkEnd w:id="48"/>
      <w:bookmarkEnd w:id="49"/>
    </w:p>
    <w:p>
      <w:pPr>
        <w:pStyle w:val="24"/>
        <w:spacing w:line="560" w:lineRule="exact"/>
        <w:ind w:firstLine="640" w:firstLineChars="200"/>
        <w:rPr>
          <w:rFonts w:hint="eastAsia"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4"/>
        <w:spacing w:line="560" w:lineRule="exact"/>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24"/>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24"/>
        <w:spacing w:line="560" w:lineRule="exact"/>
        <w:ind w:firstLine="640" w:firstLineChars="200"/>
        <w:rPr>
          <w:rFonts w:hint="eastAsia"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24"/>
        <w:spacing w:line="560" w:lineRule="exact"/>
        <w:ind w:firstLine="640" w:firstLineChars="200"/>
        <w:rPr>
          <w:rFonts w:hint="eastAsia"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4"/>
        <w:spacing w:line="560" w:lineRule="exact"/>
        <w:ind w:firstLine="640" w:firstLineChars="200"/>
        <w:rPr>
          <w:rFonts w:hint="eastAsia"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4"/>
        <w:spacing w:line="560" w:lineRule="exact"/>
        <w:ind w:firstLine="640" w:firstLineChars="200"/>
        <w:rPr>
          <w:rFonts w:hint="eastAsia"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4"/>
        <w:spacing w:line="560" w:lineRule="exact"/>
        <w:ind w:firstLine="640" w:firstLineChars="200"/>
        <w:rPr>
          <w:rFonts w:hint="eastAsia"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一般公共服务其他群众团体事务支出（2012999）：指反映其他用于群众团体事务方面的支出。一般公共服务群众团体事务支出行政运行（2012901）：指反映行政单位（包括实行公务员管理的事业单位）的基本支出。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10</w:t>
      </w:r>
      <w:r>
        <w:rPr>
          <w:rFonts w:ascii="仿宋_GB2312" w:eastAsia="仿宋_GB2312"/>
          <w:color w:val="000000"/>
          <w:sz w:val="32"/>
          <w:szCs w:val="32"/>
        </w:rPr>
        <w:t>.</w:t>
      </w:r>
      <w:r>
        <w:rPr>
          <w:rStyle w:val="16"/>
          <w:rFonts w:hint="eastAsia" w:ascii="仿宋_GB2312" w:hAnsi="仿宋_GB2312" w:eastAsia="仿宋_GB2312" w:cs="仿宋_GB2312"/>
          <w:b w:val="0"/>
          <w:color w:val="000000"/>
          <w:sz w:val="32"/>
          <w:szCs w:val="32"/>
        </w:rPr>
        <w:t>教育其他教育支出（2059999）：</w:t>
      </w:r>
      <w:r>
        <w:rPr>
          <w:rFonts w:hint="eastAsia" w:ascii="仿宋_GB2312" w:eastAsia="仿宋_GB2312"/>
          <w:color w:val="000000"/>
          <w:sz w:val="32"/>
          <w:szCs w:val="32"/>
        </w:rPr>
        <w:t>指反映上述项目以外其他用于教育方面的支出。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11</w:t>
      </w:r>
      <w:r>
        <w:rPr>
          <w:rFonts w:ascii="仿宋_GB2312" w:eastAsia="仿宋_GB2312"/>
          <w:color w:val="000000"/>
          <w:sz w:val="32"/>
          <w:szCs w:val="32"/>
        </w:rPr>
        <w:t>.</w:t>
      </w:r>
      <w:r>
        <w:rPr>
          <w:rFonts w:hint="eastAsia" w:ascii="仿宋_GB2312" w:eastAsia="仿宋_GB2312"/>
          <w:color w:val="000000"/>
          <w:sz w:val="32"/>
          <w:szCs w:val="32"/>
        </w:rPr>
        <w:t>社会保障和就业支出：机关事业单位基本养老保险缴费支出（2080505）：指行政事业单位用于缴纳在职职工基本养老保险缴费方面支出；机关事业单位职业年金缴费支出（2080506）：指行政事业单位用于缴纳在职职工职业年金缴费方面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12</w:t>
      </w:r>
      <w:r>
        <w:rPr>
          <w:rFonts w:ascii="仿宋_GB2312" w:eastAsia="仿宋_GB2312"/>
          <w:color w:val="000000"/>
          <w:sz w:val="32"/>
          <w:szCs w:val="32"/>
        </w:rPr>
        <w:t>.</w:t>
      </w:r>
      <w:r>
        <w:rPr>
          <w:rStyle w:val="16"/>
          <w:rFonts w:eastAsia="仿宋_GB2312"/>
          <w:b w:val="0"/>
          <w:color w:val="000000"/>
          <w:sz w:val="32"/>
          <w:szCs w:val="32"/>
        </w:rPr>
        <w:t>医疗卫生与计划生育支出行政单位医疗支出</w:t>
      </w:r>
      <w:r>
        <w:rPr>
          <w:rStyle w:val="16"/>
          <w:rFonts w:hint="eastAsia" w:eastAsia="仿宋_GB2312"/>
          <w:b w:val="0"/>
          <w:color w:val="000000"/>
          <w:sz w:val="32"/>
          <w:szCs w:val="32"/>
        </w:rPr>
        <w:t>（2100501）</w:t>
      </w:r>
      <w:r>
        <w:rPr>
          <w:rFonts w:hint="eastAsia" w:ascii="仿宋_GB2312" w:eastAsia="仿宋_GB2312"/>
          <w:color w:val="000000"/>
          <w:sz w:val="32"/>
          <w:szCs w:val="32"/>
        </w:rPr>
        <w:t>：指反映财政部门集中安排的行政单位基本医疗保险缴费经费，未参加医疗保险的行政单位的公费医疗经费，按国家规定享受离休人员、红军战士待遇人员的医疗经费。</w:t>
      </w:r>
    </w:p>
    <w:p>
      <w:pPr>
        <w:ind w:firstLine="320" w:firstLineChars="100"/>
        <w:rPr>
          <w:rFonts w:ascii="仿宋_GB2312" w:eastAsia="仿宋_GB2312"/>
          <w:color w:val="000000"/>
          <w:sz w:val="32"/>
          <w:szCs w:val="32"/>
        </w:rPr>
      </w:pPr>
      <w:r>
        <w:rPr>
          <w:rFonts w:hint="eastAsia" w:ascii="仿宋_GB2312" w:eastAsia="仿宋_GB2312"/>
          <w:color w:val="000000"/>
          <w:sz w:val="32"/>
          <w:szCs w:val="32"/>
        </w:rPr>
        <w:t>13</w:t>
      </w:r>
      <w:r>
        <w:rPr>
          <w:rFonts w:ascii="仿宋_GB2312" w:eastAsia="仿宋_GB2312"/>
          <w:color w:val="000000"/>
          <w:sz w:val="32"/>
          <w:szCs w:val="32"/>
        </w:rPr>
        <w:t>.</w:t>
      </w:r>
      <w:r>
        <w:rPr>
          <w:rStyle w:val="16"/>
          <w:rFonts w:eastAsia="仿宋_GB2312"/>
          <w:b w:val="0"/>
          <w:color w:val="000000"/>
          <w:sz w:val="32"/>
          <w:szCs w:val="32"/>
        </w:rPr>
        <w:t>住房保障支出住房改革支出：住房公积金</w:t>
      </w:r>
      <w:r>
        <w:rPr>
          <w:rStyle w:val="16"/>
          <w:rFonts w:hint="eastAsia" w:eastAsia="仿宋_GB2312"/>
          <w:b w:val="0"/>
          <w:color w:val="000000"/>
          <w:sz w:val="32"/>
          <w:szCs w:val="32"/>
        </w:rPr>
        <w:t>（2210201）</w:t>
      </w:r>
      <w:r>
        <w:rPr>
          <w:rStyle w:val="16"/>
          <w:rFonts w:eastAsia="仿宋_GB2312"/>
          <w:color w:val="000000"/>
          <w:sz w:val="32"/>
          <w:szCs w:val="32"/>
        </w:rPr>
        <w:t>:</w:t>
      </w:r>
      <w:r>
        <w:rPr>
          <w:rFonts w:hint="eastAsia" w:eastAsia="仿宋_GB2312"/>
          <w:color w:val="000000"/>
          <w:sz w:val="32"/>
          <w:szCs w:val="32"/>
        </w:rPr>
        <w:t>指反映行政事业单位按照人力资源和社会保障部、财政部规定的基本工资和津贴补贴以及规定比例为职工缴纳的住房公积金</w:t>
      </w:r>
      <w:r>
        <w:rPr>
          <w:rFonts w:eastAsia="仿宋_GB2312"/>
          <w:color w:val="000000"/>
          <w:sz w:val="32"/>
          <w:szCs w:val="32"/>
        </w:rPr>
        <w:t>；</w:t>
      </w:r>
      <w:r>
        <w:rPr>
          <w:rStyle w:val="16"/>
          <w:rFonts w:eastAsia="仿宋_GB2312"/>
          <w:b w:val="0"/>
          <w:color w:val="000000"/>
          <w:sz w:val="32"/>
          <w:szCs w:val="32"/>
        </w:rPr>
        <w:t>购房补贴</w:t>
      </w:r>
      <w:r>
        <w:rPr>
          <w:rStyle w:val="16"/>
          <w:rFonts w:hint="eastAsia" w:eastAsia="仿宋_GB2312"/>
          <w:b w:val="0"/>
          <w:color w:val="000000"/>
          <w:sz w:val="32"/>
          <w:szCs w:val="32"/>
        </w:rPr>
        <w:t>（2210203）</w:t>
      </w:r>
      <w:r>
        <w:rPr>
          <w:rFonts w:hint="eastAsia" w:ascii="仿宋_GB2312" w:eastAsia="仿宋_GB2312"/>
          <w:color w:val="000000"/>
          <w:sz w:val="32"/>
          <w:szCs w:val="32"/>
        </w:rPr>
        <w:t>：指反映按房改政策规定，行政事业单位向符合条件职工（含离退休人员）、军队（含武警）向转役复员离退休人员发放的用于购买住房的补贴。</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14</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15</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16</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4"/>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17</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spacing w:line="560" w:lineRule="exact"/>
        <w:ind w:firstLine="640" w:firstLineChars="200"/>
        <w:rPr>
          <w:rFonts w:hint="eastAsia" w:ascii="仿宋_GB2312" w:eastAsia="仿宋_GB2312" w:cs="黑体"/>
          <w:sz w:val="32"/>
          <w:szCs w:val="32"/>
        </w:rPr>
      </w:pPr>
      <w:r>
        <w:rPr>
          <w:rFonts w:hint="eastAsia" w:ascii="仿宋_GB2312" w:eastAsia="仿宋_GB2312"/>
          <w:sz w:val="32"/>
          <w:szCs w:val="32"/>
        </w:rPr>
        <w:t>18</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50" w:name="_Toc15396614"/>
      <w:bookmarkStart w:id="51" w:name="_Toc15377226"/>
    </w:p>
    <w:p>
      <w:pPr>
        <w:spacing w:line="600" w:lineRule="exact"/>
        <w:ind w:firstLine="2200" w:firstLineChars="500"/>
        <w:jc w:val="left"/>
        <w:outlineLvl w:val="0"/>
        <w:rPr>
          <w:rStyle w:val="26"/>
          <w:rFonts w:ascii="黑体" w:hAnsi="黑体" w:eastAsia="黑体"/>
          <w:b w:val="0"/>
        </w:rPr>
      </w:pPr>
      <w:r>
        <w:rPr>
          <w:rFonts w:hint="eastAsia" w:ascii="黑体" w:hAnsi="黑体" w:eastAsia="黑体"/>
          <w:color w:val="000000"/>
          <w:sz w:val="44"/>
          <w:szCs w:val="44"/>
        </w:rPr>
        <w:t>第</w:t>
      </w:r>
      <w:r>
        <w:rPr>
          <w:rStyle w:val="26"/>
          <w:rFonts w:hint="eastAsia" w:ascii="黑体" w:hAnsi="黑体" w:eastAsia="黑体"/>
          <w:b w:val="0"/>
        </w:rPr>
        <w:t>四部分 附件</w:t>
      </w:r>
      <w:bookmarkEnd w:id="50"/>
    </w:p>
    <w:p>
      <w:pPr>
        <w:spacing w:line="600" w:lineRule="exact"/>
        <w:jc w:val="center"/>
        <w:outlineLvl w:val="0"/>
        <w:rPr>
          <w:rStyle w:val="26"/>
        </w:rPr>
      </w:pPr>
    </w:p>
    <w:p>
      <w:pPr>
        <w:pStyle w:val="4"/>
        <w:rPr>
          <w:rStyle w:val="26"/>
          <w:rFonts w:ascii="仿宋" w:hAnsi="仿宋" w:eastAsia="仿宋"/>
          <w:b w:val="0"/>
          <w:bCs w:val="0"/>
          <w:sz w:val="32"/>
          <w:szCs w:val="32"/>
        </w:rPr>
      </w:pPr>
      <w:bookmarkStart w:id="52" w:name="_Toc15396615"/>
      <w:r>
        <w:rPr>
          <w:rStyle w:val="26"/>
          <w:rFonts w:hint="eastAsia" w:ascii="仿宋" w:hAnsi="仿宋" w:eastAsia="仿宋"/>
          <w:b w:val="0"/>
          <w:bCs w:val="0"/>
          <w:sz w:val="32"/>
          <w:szCs w:val="32"/>
        </w:rPr>
        <w:t>附件1</w:t>
      </w:r>
      <w:bookmarkEnd w:id="52"/>
    </w:p>
    <w:p>
      <w:pPr>
        <w:autoSpaceDE w:val="0"/>
        <w:autoSpaceDN w:val="0"/>
        <w:adjustRightInd w:val="0"/>
        <w:snapToGrid w:val="0"/>
        <w:spacing w:line="576" w:lineRule="exact"/>
        <w:ind w:firstLine="872" w:firstLineChars="200"/>
        <w:jc w:val="center"/>
        <w:rPr>
          <w:rFonts w:ascii="黑体" w:hAnsi="黑体" w:eastAsia="黑体" w:cs="黑体"/>
          <w:bCs/>
          <w:spacing w:val="-2"/>
          <w:sz w:val="44"/>
          <w:szCs w:val="44"/>
        </w:rPr>
      </w:pPr>
      <w:r>
        <w:rPr>
          <w:rFonts w:hint="eastAsia" w:ascii="黑体" w:hAnsi="黑体" w:eastAsia="黑体" w:cs="黑体"/>
          <w:bCs/>
          <w:spacing w:val="-2"/>
          <w:sz w:val="44"/>
          <w:szCs w:val="44"/>
        </w:rPr>
        <w:t>阿坝州总工会</w:t>
      </w:r>
    </w:p>
    <w:p>
      <w:pPr>
        <w:autoSpaceDE w:val="0"/>
        <w:autoSpaceDN w:val="0"/>
        <w:adjustRightInd w:val="0"/>
        <w:snapToGrid w:val="0"/>
        <w:spacing w:line="576" w:lineRule="exact"/>
        <w:ind w:firstLine="872" w:firstLineChars="200"/>
        <w:jc w:val="center"/>
        <w:rPr>
          <w:rFonts w:ascii="黑体" w:hAnsi="黑体" w:eastAsia="黑体" w:cs="黑体"/>
          <w:bCs/>
          <w:spacing w:val="-2"/>
          <w:sz w:val="44"/>
          <w:szCs w:val="44"/>
        </w:rPr>
      </w:pPr>
      <w:r>
        <w:rPr>
          <w:rFonts w:hint="eastAsia" w:ascii="黑体" w:hAnsi="黑体" w:eastAsia="黑体" w:cs="黑体"/>
          <w:bCs/>
          <w:spacing w:val="-2"/>
          <w:sz w:val="44"/>
          <w:szCs w:val="44"/>
        </w:rPr>
        <w:t>2019年部门整体支出绩效报告</w:t>
      </w:r>
    </w:p>
    <w:p>
      <w:pPr>
        <w:spacing w:line="560" w:lineRule="exact"/>
        <w:ind w:firstLine="635" w:firstLineChars="200"/>
        <w:rPr>
          <w:rFonts w:ascii="仿宋_GB2312" w:hAnsi="宋体" w:eastAsia="仿宋_GB2312"/>
          <w:b/>
          <w:spacing w:val="-2"/>
          <w:sz w:val="32"/>
          <w:szCs w:val="32"/>
        </w:rPr>
      </w:pPr>
    </w:p>
    <w:p>
      <w:pPr>
        <w:spacing w:line="600" w:lineRule="exact"/>
        <w:ind w:firstLine="635" w:firstLineChars="200"/>
        <w:rPr>
          <w:rFonts w:ascii="仿宋" w:hAnsi="仿宋" w:eastAsia="仿宋" w:cs="仿宋"/>
          <w:b/>
          <w:spacing w:val="-2"/>
          <w:sz w:val="32"/>
          <w:szCs w:val="32"/>
        </w:rPr>
      </w:pPr>
      <w:r>
        <w:rPr>
          <w:rFonts w:hint="eastAsia" w:ascii="仿宋" w:hAnsi="仿宋" w:eastAsia="仿宋" w:cs="仿宋"/>
          <w:b/>
          <w:spacing w:val="-2"/>
          <w:sz w:val="32"/>
          <w:szCs w:val="32"/>
        </w:rPr>
        <w:t>一、单位概况</w:t>
      </w:r>
    </w:p>
    <w:p>
      <w:pPr>
        <w:spacing w:line="600" w:lineRule="exact"/>
        <w:ind w:firstLine="584" w:firstLineChars="185"/>
        <w:rPr>
          <w:rFonts w:ascii="仿宋" w:hAnsi="仿宋" w:eastAsia="仿宋" w:cs="仿宋"/>
          <w:bCs/>
          <w:spacing w:val="-2"/>
          <w:sz w:val="32"/>
          <w:szCs w:val="32"/>
        </w:rPr>
      </w:pPr>
      <w:r>
        <w:rPr>
          <w:rFonts w:hint="eastAsia" w:ascii="仿宋" w:hAnsi="仿宋" w:eastAsia="仿宋" w:cs="仿宋"/>
          <w:bCs/>
          <w:spacing w:val="-2"/>
          <w:sz w:val="32"/>
          <w:szCs w:val="32"/>
        </w:rPr>
        <w:t>（一）机构组成</w:t>
      </w:r>
    </w:p>
    <w:p>
      <w:pPr>
        <w:spacing w:line="600" w:lineRule="exact"/>
        <w:ind w:firstLine="584" w:firstLineChars="185"/>
        <w:rPr>
          <w:rFonts w:ascii="仿宋" w:hAnsi="仿宋" w:eastAsia="仿宋" w:cs="仿宋"/>
          <w:bCs/>
          <w:spacing w:val="-2"/>
          <w:sz w:val="32"/>
          <w:szCs w:val="32"/>
        </w:rPr>
      </w:pPr>
      <w:r>
        <w:rPr>
          <w:rFonts w:hint="eastAsia" w:ascii="仿宋" w:hAnsi="仿宋" w:eastAsia="仿宋" w:cs="仿宋"/>
          <w:bCs/>
          <w:spacing w:val="-2"/>
          <w:sz w:val="32"/>
          <w:szCs w:val="32"/>
        </w:rPr>
        <w:t>阿坝州总工会属一级预算单位，内设：办公室、财务部、经审办、保障部、组宣部、女工部、法律工作部7个机构。</w:t>
      </w:r>
    </w:p>
    <w:p>
      <w:pPr>
        <w:spacing w:line="600" w:lineRule="exact"/>
        <w:ind w:firstLine="584" w:firstLineChars="185"/>
        <w:rPr>
          <w:rFonts w:ascii="仿宋" w:hAnsi="仿宋" w:eastAsia="仿宋" w:cs="仿宋"/>
          <w:bCs/>
          <w:spacing w:val="-2"/>
          <w:sz w:val="32"/>
          <w:szCs w:val="32"/>
        </w:rPr>
      </w:pPr>
      <w:r>
        <w:rPr>
          <w:rFonts w:hint="eastAsia" w:ascii="仿宋" w:hAnsi="仿宋" w:eastAsia="仿宋" w:cs="仿宋"/>
          <w:bCs/>
          <w:spacing w:val="-2"/>
          <w:sz w:val="32"/>
          <w:szCs w:val="32"/>
        </w:rPr>
        <w:t>（二）机构职能</w:t>
      </w:r>
    </w:p>
    <w:p>
      <w:pPr>
        <w:shd w:val="clear" w:color="auto" w:fill="FFFFFF"/>
        <w:spacing w:line="600" w:lineRule="exact"/>
        <w:ind w:firstLine="632" w:firstLineChars="200"/>
        <w:jc w:val="left"/>
        <w:rPr>
          <w:rFonts w:ascii="仿宋" w:hAnsi="仿宋" w:eastAsia="仿宋" w:cs="仿宋"/>
          <w:color w:val="686868"/>
          <w:kern w:val="0"/>
          <w:sz w:val="32"/>
          <w:szCs w:val="32"/>
        </w:rPr>
      </w:pPr>
      <w:r>
        <w:rPr>
          <w:rFonts w:hint="eastAsia" w:ascii="仿宋" w:hAnsi="仿宋" w:eastAsia="仿宋" w:cs="仿宋"/>
          <w:bCs/>
          <w:spacing w:val="-2"/>
          <w:sz w:val="32"/>
          <w:szCs w:val="32"/>
        </w:rPr>
        <w:t xml:space="preserve"> 1、 </w:t>
      </w:r>
      <w:r>
        <w:rPr>
          <w:rFonts w:hint="eastAsia" w:ascii="仿宋" w:hAnsi="仿宋" w:eastAsia="仿宋" w:cs="仿宋"/>
          <w:kern w:val="0"/>
          <w:sz w:val="32"/>
          <w:szCs w:val="32"/>
          <w:shd w:val="clear" w:color="auto" w:fill="FFFFFF"/>
        </w:rPr>
        <w:t>维护职工合法权益和民主权利；2、动员和组织职工积极参加建设和改革，完成经济和社会发展任务；3、代表和组织职工参与国家和社会事务管理，参与企业、事业和机关的民主管理；4、教育职工不断提高思想道德素质和科学文化素质，建设有理想、有道德、有文化、有纪律的职工队伍。即维护、建设、参与、教育职能，维护是中国工会的基本职能。5、</w:t>
      </w:r>
      <w:r>
        <w:rPr>
          <w:rFonts w:hint="eastAsia" w:ascii="仿宋" w:hAnsi="仿宋" w:eastAsia="仿宋" w:cs="仿宋"/>
          <w:color w:val="000000"/>
          <w:kern w:val="0"/>
          <w:sz w:val="32"/>
          <w:szCs w:val="32"/>
        </w:rPr>
        <w:t>协助州政府做好州劳动模范的推荐、评选和管理工作；协助省总工会做好在省劳模和全国“五一劳动奖章”、“五一劳动奖状”获得者的推荐、管理工作。6、负责全州工会经费和工会资产的管理、审查、审计工作；研究、制定工会组织兴办职工劳动福利事业的有关制度和规定；负责对全省工会职工劳动福利事业的指导、协调工作。</w:t>
      </w:r>
    </w:p>
    <w:p>
      <w:pPr>
        <w:autoSpaceDE w:val="0"/>
        <w:autoSpaceDN w:val="0"/>
        <w:adjustRightInd w:val="0"/>
        <w:snapToGrid w:val="0"/>
        <w:spacing w:line="600" w:lineRule="exact"/>
        <w:ind w:firstLine="632" w:firstLineChars="200"/>
        <w:rPr>
          <w:rFonts w:ascii="仿宋" w:hAnsi="仿宋" w:eastAsia="仿宋" w:cs="仿宋"/>
          <w:bCs/>
          <w:spacing w:val="-2"/>
          <w:sz w:val="32"/>
          <w:szCs w:val="32"/>
        </w:rPr>
      </w:pPr>
      <w:r>
        <w:rPr>
          <w:rFonts w:hint="eastAsia" w:ascii="仿宋" w:hAnsi="仿宋" w:eastAsia="仿宋" w:cs="仿宋"/>
          <w:bCs/>
          <w:spacing w:val="-2"/>
          <w:sz w:val="32"/>
          <w:szCs w:val="32"/>
        </w:rPr>
        <w:t>（三）人员概况</w:t>
      </w:r>
    </w:p>
    <w:p>
      <w:pPr>
        <w:spacing w:line="600" w:lineRule="exact"/>
        <w:ind w:firstLine="640" w:firstLineChars="200"/>
        <w:rPr>
          <w:rFonts w:ascii="仿宋" w:hAnsi="仿宋" w:eastAsia="仿宋" w:cs="仿宋"/>
          <w:bCs/>
          <w:spacing w:val="-2"/>
          <w:sz w:val="32"/>
          <w:szCs w:val="32"/>
        </w:rPr>
      </w:pPr>
      <w:r>
        <w:rPr>
          <w:rFonts w:hint="eastAsia" w:ascii="仿宋" w:hAnsi="仿宋" w:eastAsia="仿宋" w:cs="仿宋"/>
          <w:sz w:val="32"/>
          <w:szCs w:val="32"/>
        </w:rPr>
        <w:t>我会行政编制17名，工勤3名，现实有在职职工17人，其中行政15人、工勤2人；退休人员17人。我会属财政全额预算单位。</w:t>
      </w:r>
    </w:p>
    <w:p>
      <w:pPr>
        <w:autoSpaceDE w:val="0"/>
        <w:autoSpaceDN w:val="0"/>
        <w:adjustRightInd w:val="0"/>
        <w:snapToGrid w:val="0"/>
        <w:spacing w:line="600" w:lineRule="exact"/>
        <w:ind w:firstLine="635" w:firstLineChars="200"/>
        <w:rPr>
          <w:rFonts w:ascii="仿宋" w:hAnsi="仿宋" w:eastAsia="仿宋" w:cs="仿宋"/>
          <w:b/>
          <w:spacing w:val="-2"/>
          <w:sz w:val="32"/>
          <w:szCs w:val="32"/>
        </w:rPr>
      </w:pPr>
      <w:r>
        <w:rPr>
          <w:rFonts w:hint="eastAsia" w:ascii="仿宋" w:hAnsi="仿宋" w:eastAsia="仿宋" w:cs="仿宋"/>
          <w:b/>
          <w:spacing w:val="-2"/>
          <w:sz w:val="32"/>
          <w:szCs w:val="32"/>
        </w:rPr>
        <w:t>二、部门财政资金收支情况</w:t>
      </w:r>
    </w:p>
    <w:p>
      <w:pPr>
        <w:autoSpaceDE w:val="0"/>
        <w:autoSpaceDN w:val="0"/>
        <w:adjustRightInd w:val="0"/>
        <w:snapToGrid w:val="0"/>
        <w:spacing w:line="600" w:lineRule="exact"/>
        <w:ind w:firstLine="632" w:firstLineChars="200"/>
        <w:rPr>
          <w:rFonts w:ascii="仿宋" w:hAnsi="仿宋" w:eastAsia="仿宋" w:cs="仿宋"/>
          <w:bCs/>
          <w:spacing w:val="-2"/>
          <w:sz w:val="32"/>
          <w:szCs w:val="32"/>
        </w:rPr>
      </w:pPr>
      <w:r>
        <w:rPr>
          <w:rFonts w:hint="eastAsia" w:ascii="仿宋" w:hAnsi="仿宋" w:eastAsia="仿宋" w:cs="仿宋"/>
          <w:bCs/>
          <w:spacing w:val="-2"/>
          <w:sz w:val="32"/>
          <w:szCs w:val="32"/>
        </w:rPr>
        <w:t>（一）部门财政资金收入情况</w:t>
      </w:r>
    </w:p>
    <w:p>
      <w:pPr>
        <w:shd w:val="clear" w:color="auto" w:fill="FFFFFF"/>
        <w:spacing w:line="600" w:lineRule="exact"/>
        <w:ind w:firstLine="645"/>
        <w:jc w:val="left"/>
        <w:rPr>
          <w:rFonts w:ascii="仿宋" w:hAnsi="仿宋" w:eastAsia="仿宋" w:cs="仿宋"/>
          <w:bCs/>
          <w:spacing w:val="-2"/>
          <w:sz w:val="32"/>
          <w:szCs w:val="32"/>
        </w:rPr>
      </w:pPr>
      <w:r>
        <w:rPr>
          <w:rFonts w:hint="eastAsia" w:ascii="仿宋" w:hAnsi="仿宋" w:eastAsia="仿宋" w:cs="仿宋"/>
          <w:bCs/>
          <w:spacing w:val="-2"/>
          <w:sz w:val="32"/>
          <w:szCs w:val="32"/>
        </w:rPr>
        <w:t>2019年一般公共预算拨款收入2080.12万元，</w:t>
      </w:r>
      <w:r>
        <w:rPr>
          <w:rFonts w:hint="eastAsia" w:ascii="仿宋" w:hAnsi="仿宋" w:eastAsia="仿宋" w:cs="仿宋"/>
          <w:color w:val="000000"/>
          <w:kern w:val="0"/>
          <w:sz w:val="32"/>
          <w:szCs w:val="32"/>
        </w:rPr>
        <w:t>较上年增加31.45万元，增长1.54%。</w:t>
      </w:r>
    </w:p>
    <w:p>
      <w:pPr>
        <w:numPr>
          <w:ilvl w:val="0"/>
          <w:numId w:val="3"/>
        </w:numPr>
        <w:autoSpaceDE w:val="0"/>
        <w:autoSpaceDN w:val="0"/>
        <w:adjustRightInd w:val="0"/>
        <w:snapToGrid w:val="0"/>
        <w:spacing w:line="600" w:lineRule="exact"/>
        <w:ind w:firstLine="632" w:firstLineChars="200"/>
        <w:rPr>
          <w:rFonts w:ascii="仿宋" w:hAnsi="仿宋" w:eastAsia="仿宋" w:cs="仿宋"/>
          <w:bCs/>
          <w:spacing w:val="-2"/>
          <w:sz w:val="32"/>
          <w:szCs w:val="32"/>
        </w:rPr>
      </w:pPr>
      <w:r>
        <w:rPr>
          <w:rFonts w:hint="eastAsia" w:ascii="仿宋" w:hAnsi="仿宋" w:eastAsia="仿宋" w:cs="仿宋"/>
          <w:bCs/>
          <w:spacing w:val="-2"/>
          <w:sz w:val="32"/>
          <w:szCs w:val="32"/>
        </w:rPr>
        <w:t>部门财政资金支出情况</w:t>
      </w:r>
    </w:p>
    <w:p>
      <w:pPr>
        <w:shd w:val="clear" w:color="auto" w:fill="FFFFFF"/>
        <w:spacing w:line="600" w:lineRule="exact"/>
        <w:ind w:firstLine="645"/>
        <w:jc w:val="left"/>
        <w:rPr>
          <w:rFonts w:ascii="仿宋" w:hAnsi="仿宋" w:eastAsia="仿宋" w:cs="仿宋"/>
          <w:color w:val="333333"/>
          <w:kern w:val="0"/>
          <w:sz w:val="32"/>
          <w:szCs w:val="32"/>
        </w:rPr>
      </w:pPr>
      <w:r>
        <w:rPr>
          <w:rFonts w:hint="eastAsia" w:ascii="仿宋" w:hAnsi="仿宋" w:eastAsia="仿宋" w:cs="仿宋"/>
          <w:bCs/>
          <w:color w:val="000000"/>
          <w:spacing w:val="-2"/>
          <w:sz w:val="32"/>
          <w:szCs w:val="32"/>
        </w:rPr>
        <w:t>2019年</w:t>
      </w:r>
      <w:r>
        <w:rPr>
          <w:rFonts w:hint="eastAsia" w:ascii="仿宋" w:hAnsi="仿宋" w:eastAsia="仿宋" w:cs="仿宋"/>
          <w:color w:val="000000"/>
          <w:kern w:val="0"/>
          <w:sz w:val="32"/>
          <w:szCs w:val="32"/>
        </w:rPr>
        <w:t>一般公共预算财政拨款支出2161.12万元，其中：基本支出408.76万元，占财政拨款支出18.91%；项目支出1752.36万元，占财政拨款支出81.09%。财政拨款</w:t>
      </w:r>
      <w:r>
        <w:rPr>
          <w:rFonts w:hint="eastAsia" w:ascii="仿宋" w:hAnsi="仿宋" w:eastAsia="仿宋" w:cs="仿宋"/>
          <w:color w:val="333333"/>
          <w:kern w:val="0"/>
          <w:sz w:val="32"/>
          <w:szCs w:val="32"/>
        </w:rPr>
        <w:t>按经济分类</w:t>
      </w:r>
      <w:r>
        <w:rPr>
          <w:rFonts w:hint="eastAsia" w:ascii="仿宋" w:hAnsi="仿宋" w:eastAsia="仿宋" w:cs="仿宋"/>
          <w:color w:val="000000"/>
          <w:kern w:val="0"/>
          <w:sz w:val="32"/>
          <w:szCs w:val="32"/>
        </w:rPr>
        <w:t>：</w:t>
      </w:r>
      <w:r>
        <w:rPr>
          <w:rFonts w:hint="eastAsia" w:ascii="仿宋" w:hAnsi="仿宋" w:eastAsia="仿宋" w:cs="仿宋"/>
          <w:color w:val="333333"/>
          <w:kern w:val="0"/>
          <w:sz w:val="32"/>
          <w:szCs w:val="32"/>
        </w:rPr>
        <w:t>工资福利支出336.20万元,占总支出15.56%；商品服务支出1450.73万元（含代扣工会经费1355万元）,占总支出67.13 %；对个人和家庭补助支出374.19万元, 占总支出17.31%。</w:t>
      </w:r>
    </w:p>
    <w:p>
      <w:pPr>
        <w:pStyle w:val="2"/>
        <w:ind w:firstLine="482" w:firstLineChars="150"/>
        <w:rPr>
          <w:rFonts w:ascii="仿宋" w:hAnsi="仿宋" w:eastAsia="仿宋"/>
          <w:b/>
          <w:sz w:val="32"/>
          <w:szCs w:val="32"/>
        </w:rPr>
      </w:pPr>
      <w:r>
        <w:rPr>
          <w:rFonts w:hint="eastAsia" w:ascii="仿宋" w:hAnsi="仿宋" w:eastAsia="仿宋"/>
          <w:b/>
          <w:sz w:val="32"/>
          <w:szCs w:val="32"/>
        </w:rPr>
        <w:t>三、部门整体预算绩效管理情况</w:t>
      </w:r>
    </w:p>
    <w:p>
      <w:pPr>
        <w:pStyle w:val="2"/>
        <w:ind w:firstLine="320" w:firstLineChars="100"/>
        <w:rPr>
          <w:rFonts w:ascii="仿宋" w:hAnsi="仿宋" w:eastAsia="仿宋"/>
          <w:sz w:val="32"/>
          <w:szCs w:val="32"/>
        </w:rPr>
      </w:pPr>
      <w:r>
        <w:rPr>
          <w:rFonts w:hint="eastAsia" w:ascii="仿宋" w:hAnsi="仿宋" w:eastAsia="仿宋"/>
          <w:sz w:val="32"/>
          <w:szCs w:val="32"/>
        </w:rPr>
        <w:t xml:space="preserve"> （一）部门预算管理</w:t>
      </w:r>
    </w:p>
    <w:p>
      <w:pPr>
        <w:spacing w:line="600" w:lineRule="exact"/>
        <w:ind w:firstLine="640" w:firstLineChars="200"/>
        <w:rPr>
          <w:rFonts w:ascii="仿宋_GB2312" w:hAnsi="仿宋_GB2312" w:eastAsia="仿宋_GB2312" w:cs="仿宋_GB2312"/>
          <w:bCs/>
          <w:spacing w:val="-2"/>
          <w:sz w:val="32"/>
          <w:szCs w:val="32"/>
        </w:rPr>
      </w:pPr>
      <w:r>
        <w:rPr>
          <w:rFonts w:hint="eastAsia" w:ascii="仿宋" w:hAnsi="仿宋" w:eastAsia="仿宋" w:cs="仿宋"/>
          <w:color w:val="000000"/>
          <w:sz w:val="32"/>
          <w:szCs w:val="32"/>
        </w:rPr>
        <w:t>2019年阿坝州总工会执行收入预算为2080.12万元，与上年对比增加31.45万元；2019年阿坝州总工会执行支出预算合计2161.12万元，与上年对比增加110.30万元,增加的主要原因：一是财政代扣工会经费增加；二是人员工资调增。       完成预算100%。</w:t>
      </w:r>
      <w:r>
        <w:rPr>
          <w:rFonts w:hint="eastAsia" w:ascii="仿宋_GB2312" w:hAnsi="仿宋_GB2312" w:eastAsia="仿宋_GB2312" w:cs="仿宋_GB2312"/>
          <w:bCs/>
          <w:spacing w:val="-2"/>
          <w:sz w:val="32"/>
          <w:szCs w:val="32"/>
        </w:rPr>
        <w:t>预算编制按照规定做到了细化，内容真实、完整。各项收入均列入部门预算，按要求编制了政府采购预算，结余结转资金规范化管理，按规定及时公开了部门预算，无违规记录。</w:t>
      </w:r>
    </w:p>
    <w:p>
      <w:pPr>
        <w:pStyle w:val="2"/>
        <w:rPr>
          <w:rFonts w:ascii="仿宋" w:hAnsi="仿宋" w:eastAsia="仿宋"/>
          <w:sz w:val="32"/>
          <w:szCs w:val="32"/>
        </w:rPr>
      </w:pPr>
      <w:r>
        <w:rPr>
          <w:rFonts w:hint="eastAsia"/>
        </w:rPr>
        <w:t xml:space="preserve">    </w:t>
      </w:r>
      <w:r>
        <w:rPr>
          <w:rFonts w:hint="eastAsia" w:ascii="仿宋" w:hAnsi="仿宋" w:eastAsia="仿宋"/>
          <w:sz w:val="32"/>
          <w:szCs w:val="32"/>
        </w:rPr>
        <w:t>（二）专项预算管理。</w:t>
      </w:r>
    </w:p>
    <w:p>
      <w:pPr>
        <w:spacing w:line="580" w:lineRule="exact"/>
        <w:ind w:firstLine="632" w:firstLineChars="200"/>
        <w:rPr>
          <w:rFonts w:ascii="仿宋_GB2312" w:hAnsi="仿宋_GB2312" w:eastAsia="仿宋_GB2312" w:cs="仿宋_GB2312"/>
          <w:bCs/>
          <w:spacing w:val="-2"/>
          <w:sz w:val="32"/>
          <w:szCs w:val="32"/>
        </w:rPr>
      </w:pPr>
      <w:r>
        <w:rPr>
          <w:rFonts w:hint="eastAsia" w:ascii="仿宋_GB2312" w:hAnsi="仿宋_GB2312" w:eastAsia="仿宋_GB2312" w:cs="仿宋_GB2312"/>
          <w:bCs/>
          <w:spacing w:val="-2"/>
          <w:sz w:val="32"/>
          <w:szCs w:val="32"/>
        </w:rPr>
        <w:t>项目支出均按照批准的项目和用途以及项目实施方案执行，项目</w:t>
      </w:r>
      <w:r>
        <w:rPr>
          <w:rFonts w:hint="eastAsia" w:ascii="仿宋_GB2312" w:hAnsi="仿宋_GB2312" w:eastAsia="仿宋_GB2312" w:cs="仿宋_GB2312"/>
          <w:sz w:val="32"/>
          <w:szCs w:val="32"/>
        </w:rPr>
        <w:t>规划合理，结果符合项目要求规定，分配科学、按时效及时分配，专项预算绩效目标完成100%、无违规记录。</w:t>
      </w:r>
      <w:r>
        <w:rPr>
          <w:rFonts w:hint="eastAsia" w:ascii="仿宋_GB2312" w:hAnsi="仿宋_GB2312" w:eastAsia="仿宋_GB2312" w:cs="仿宋_GB2312"/>
          <w:bCs/>
          <w:spacing w:val="-2"/>
          <w:sz w:val="32"/>
          <w:szCs w:val="32"/>
        </w:rPr>
        <w:t>严格执行政府采购制度、单位内控制度，做到预算决算信息公开。</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（三）结果应用情况。</w:t>
      </w:r>
    </w:p>
    <w:p>
      <w:pPr>
        <w:ind w:firstLine="632" w:firstLineChars="200"/>
        <w:rPr>
          <w:rFonts w:ascii="仿宋_GB2312" w:hAnsi="仿宋_GB2312" w:eastAsia="仿宋_GB2312" w:cs="仿宋_GB2312"/>
          <w:bCs/>
          <w:spacing w:val="-2"/>
          <w:sz w:val="32"/>
          <w:szCs w:val="32"/>
        </w:rPr>
      </w:pPr>
      <w:r>
        <w:rPr>
          <w:rFonts w:hint="eastAsia" w:ascii="仿宋_GB2312" w:hAnsi="仿宋_GB2312" w:eastAsia="仿宋_GB2312" w:cs="仿宋_GB2312"/>
          <w:bCs/>
          <w:spacing w:val="-2"/>
          <w:sz w:val="32"/>
          <w:szCs w:val="32"/>
        </w:rPr>
        <w:t>本着厉行节约的方针，州总工会财政拨款支出主要用于保障单位机构正常运转、完成日常工作任务以及承担本单位事业发展相关工作。基本支出用于保障我单位正常运转日常支出，包括基本工资、津贴补贴等人员经费以及办公费、水电费、邮电费、办公设备购置等日常公用经费；项目支出用于保障我会各项职能职责充分发挥，完善设备设施建设、完善监督职责等产生的各类专项费用。对自评结果进行了公开。</w:t>
      </w:r>
    </w:p>
    <w:p>
      <w:pPr>
        <w:spacing w:line="600" w:lineRule="exact"/>
        <w:ind w:firstLine="635" w:firstLineChars="200"/>
        <w:rPr>
          <w:rFonts w:ascii="仿宋" w:hAnsi="仿宋" w:eastAsia="仿宋" w:cs="仿宋"/>
          <w:b/>
          <w:spacing w:val="-2"/>
          <w:sz w:val="32"/>
          <w:szCs w:val="32"/>
        </w:rPr>
      </w:pPr>
      <w:r>
        <w:rPr>
          <w:rFonts w:hint="eastAsia" w:ascii="仿宋" w:hAnsi="仿宋" w:eastAsia="仿宋" w:cs="仿宋"/>
          <w:b/>
          <w:spacing w:val="-2"/>
          <w:sz w:val="32"/>
          <w:szCs w:val="32"/>
        </w:rPr>
        <w:t>四、评价结论和建议</w:t>
      </w:r>
    </w:p>
    <w:p>
      <w:pPr>
        <w:spacing w:line="600" w:lineRule="exact"/>
        <w:ind w:firstLine="632" w:firstLineChars="200"/>
        <w:rPr>
          <w:rFonts w:ascii="仿宋" w:hAnsi="仿宋" w:eastAsia="仿宋" w:cs="仿宋"/>
          <w:bCs/>
          <w:spacing w:val="-2"/>
          <w:sz w:val="32"/>
          <w:szCs w:val="32"/>
        </w:rPr>
      </w:pPr>
      <w:r>
        <w:rPr>
          <w:rFonts w:hint="eastAsia" w:ascii="仿宋" w:hAnsi="仿宋" w:eastAsia="仿宋" w:cs="仿宋"/>
          <w:bCs/>
          <w:spacing w:val="-2"/>
          <w:sz w:val="32"/>
          <w:szCs w:val="32"/>
        </w:rPr>
        <w:t>（一）评价结论</w:t>
      </w:r>
    </w:p>
    <w:p>
      <w:pPr>
        <w:pStyle w:val="13"/>
        <w:shd w:val="clear" w:color="auto" w:fill="FFFFFF"/>
        <w:spacing w:before="0" w:beforeAutospacing="0" w:after="0" w:afterAutospacing="0" w:line="600" w:lineRule="exact"/>
        <w:ind w:firstLine="645"/>
        <w:rPr>
          <w:rFonts w:ascii="仿宋" w:hAnsi="仿宋" w:eastAsia="仿宋" w:cs="仿宋"/>
          <w:bCs/>
          <w:spacing w:val="-2"/>
          <w:kern w:val="2"/>
          <w:sz w:val="32"/>
          <w:szCs w:val="32"/>
        </w:rPr>
      </w:pPr>
      <w:r>
        <w:rPr>
          <w:rFonts w:hint="eastAsia" w:ascii="仿宋_GB2312" w:hAnsi="微软雅黑" w:eastAsia="仿宋_GB2312"/>
          <w:color w:val="000000"/>
          <w:sz w:val="32"/>
          <w:szCs w:val="32"/>
        </w:rPr>
        <w:t>从总体上看，2019年州总工会部门财政资金支出取得了较好的绩效，有力地保障了工会职能作用的正常发挥、工会机关的正常运行和各项工作的正常开展，使工会组织的桥梁、纽带作用得到了进一步体现，财政资金发挥了较好的效益。我会对整体支出进行了绩效评价，评价结果为预算编制及执行决算较为准确，支出管理较为规范，财务管理制度较完善，部门整体绩效较好，</w:t>
      </w:r>
      <w:r>
        <w:rPr>
          <w:rFonts w:hint="eastAsia" w:ascii="仿宋" w:hAnsi="仿宋" w:eastAsia="仿宋" w:cs="仿宋"/>
          <w:bCs/>
          <w:spacing w:val="-2"/>
          <w:kern w:val="2"/>
          <w:sz w:val="32"/>
          <w:szCs w:val="32"/>
        </w:rPr>
        <w:t>州总工会支出绩效自评97.82分，预算执行情况良好，无不良记录及违规违纪行为。</w:t>
      </w:r>
    </w:p>
    <w:p>
      <w:pPr>
        <w:numPr>
          <w:ilvl w:val="0"/>
          <w:numId w:val="4"/>
        </w:numPr>
        <w:spacing w:line="600" w:lineRule="exact"/>
        <w:ind w:firstLine="632" w:firstLineChars="200"/>
        <w:rPr>
          <w:rFonts w:ascii="仿宋" w:hAnsi="仿宋" w:eastAsia="仿宋" w:cs="仿宋"/>
          <w:bCs/>
          <w:spacing w:val="-2"/>
          <w:sz w:val="32"/>
          <w:szCs w:val="32"/>
        </w:rPr>
      </w:pPr>
      <w:r>
        <w:rPr>
          <w:rFonts w:hint="eastAsia" w:ascii="仿宋" w:hAnsi="仿宋" w:eastAsia="仿宋" w:cs="仿宋"/>
          <w:bCs/>
          <w:spacing w:val="-2"/>
          <w:sz w:val="32"/>
          <w:szCs w:val="32"/>
        </w:rPr>
        <w:t>存在问题</w:t>
      </w:r>
    </w:p>
    <w:p>
      <w:pPr>
        <w:pStyle w:val="13"/>
        <w:shd w:val="clear" w:color="auto" w:fill="FFFFFF"/>
        <w:spacing w:before="0" w:beforeAutospacing="0" w:after="0" w:afterAutospacing="0" w:line="600" w:lineRule="exact"/>
        <w:ind w:firstLine="645"/>
        <w:rPr>
          <w:rFonts w:ascii="微软雅黑" w:hAnsi="微软雅黑" w:eastAsia="微软雅黑"/>
          <w:color w:val="686868"/>
          <w:sz w:val="23"/>
          <w:szCs w:val="23"/>
        </w:rPr>
      </w:pPr>
      <w:r>
        <w:rPr>
          <w:rFonts w:hint="eastAsia" w:ascii="仿宋_GB2312" w:hAnsi="微软雅黑" w:eastAsia="仿宋_GB2312"/>
          <w:color w:val="000000"/>
          <w:sz w:val="32"/>
          <w:szCs w:val="32"/>
        </w:rPr>
        <w:t>一是个别项目在支出执行进度上存在不均衡的问题。二是预算目标绩效事前评估和事中监督不够以及对绩效评价结果运用不够。</w:t>
      </w:r>
    </w:p>
    <w:p>
      <w:pPr>
        <w:numPr>
          <w:ilvl w:val="0"/>
          <w:numId w:val="4"/>
        </w:numPr>
        <w:spacing w:line="600" w:lineRule="exact"/>
        <w:ind w:firstLine="632" w:firstLineChars="200"/>
        <w:rPr>
          <w:rFonts w:ascii="仿宋" w:hAnsi="仿宋" w:eastAsia="仿宋" w:cs="仿宋"/>
          <w:bCs/>
          <w:spacing w:val="-2"/>
          <w:sz w:val="32"/>
          <w:szCs w:val="32"/>
        </w:rPr>
      </w:pPr>
      <w:r>
        <w:rPr>
          <w:rFonts w:hint="eastAsia" w:ascii="仿宋" w:hAnsi="仿宋" w:eastAsia="仿宋" w:cs="仿宋"/>
          <w:bCs/>
          <w:spacing w:val="-2"/>
          <w:sz w:val="32"/>
          <w:szCs w:val="32"/>
        </w:rPr>
        <w:t>改进建议</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改进建议：一是加强预算执行力度。</w:t>
      </w:r>
      <w:r>
        <w:rPr>
          <w:rFonts w:hint="eastAsia" w:ascii="仿宋_GB2312" w:hAnsi="微软雅黑" w:eastAsia="仿宋_GB2312"/>
          <w:color w:val="000000"/>
          <w:sz w:val="32"/>
          <w:szCs w:val="32"/>
        </w:rPr>
        <w:t>在下一步工作中，我们将进一步强化预算执行，</w:t>
      </w:r>
      <w:r>
        <w:rPr>
          <w:rFonts w:hint="eastAsia" w:ascii="仿宋" w:hAnsi="仿宋" w:eastAsia="仿宋" w:cs="仿宋"/>
          <w:sz w:val="32"/>
          <w:szCs w:val="32"/>
        </w:rPr>
        <w:t>在保障单位基本运行的同时继续压减行政运行成本，厉行节约，</w:t>
      </w:r>
      <w:r>
        <w:rPr>
          <w:rFonts w:hint="eastAsia" w:ascii="仿宋_GB2312" w:hAnsi="微软雅黑" w:eastAsia="仿宋_GB2312"/>
          <w:color w:val="000000"/>
          <w:sz w:val="32"/>
          <w:szCs w:val="32"/>
        </w:rPr>
        <w:t>严格按照预算进度及时拨付资金。</w:t>
      </w:r>
      <w:r>
        <w:rPr>
          <w:rFonts w:hint="eastAsia" w:ascii="仿宋" w:hAnsi="仿宋" w:eastAsia="仿宋" w:cs="仿宋"/>
          <w:sz w:val="32"/>
          <w:szCs w:val="32"/>
        </w:rPr>
        <w:t>二是强化评价结果应用</w:t>
      </w:r>
      <w:r>
        <w:rPr>
          <w:rFonts w:hint="eastAsia" w:ascii="仿宋_GB2312" w:hAnsi="微软雅黑" w:eastAsia="仿宋_GB2312"/>
          <w:color w:val="000000"/>
          <w:sz w:val="32"/>
          <w:szCs w:val="32"/>
        </w:rPr>
        <w:t>。在下一步工作中，开展绩效运行情况监控分析，切实强化绩效评价结果应用，要将绩效管理实质性嵌入预算管理中，提升绩效目标质量。</w:t>
      </w:r>
    </w:p>
    <w:p>
      <w:pPr>
        <w:spacing w:line="600" w:lineRule="exact"/>
        <w:rPr>
          <w:rFonts w:ascii="仿宋" w:hAnsi="仿宋" w:eastAsia="仿宋" w:cs="仿宋"/>
          <w:bCs/>
          <w:spacing w:val="-2"/>
          <w:sz w:val="32"/>
          <w:szCs w:val="32"/>
        </w:rPr>
      </w:pPr>
    </w:p>
    <w:p>
      <w:pPr>
        <w:ind w:firstLine="480" w:firstLineChars="150"/>
        <w:rPr>
          <w:rFonts w:ascii="仿宋" w:hAnsi="仿宋" w:eastAsia="仿宋"/>
          <w:sz w:val="32"/>
          <w:szCs w:val="32"/>
        </w:rPr>
      </w:pPr>
    </w:p>
    <w:p>
      <w:pPr>
        <w:spacing w:line="600" w:lineRule="exact"/>
        <w:jc w:val="center"/>
        <w:outlineLvl w:val="0"/>
        <w:rPr>
          <w:rFonts w:ascii="黑体" w:hAnsi="黑体" w:eastAsia="黑体"/>
          <w:color w:val="000000"/>
          <w:sz w:val="44"/>
          <w:szCs w:val="44"/>
        </w:rPr>
      </w:pPr>
      <w:bookmarkStart w:id="53" w:name="_Toc15396618"/>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Style w:val="26"/>
          <w:rFonts w:ascii="黑体" w:hAnsi="黑体" w:eastAsia="黑体"/>
          <w:b w:val="0"/>
        </w:rPr>
      </w:pPr>
      <w:r>
        <w:rPr>
          <w:rFonts w:hint="eastAsia" w:ascii="黑体" w:hAnsi="黑体" w:eastAsia="黑体"/>
          <w:color w:val="000000"/>
          <w:sz w:val="44"/>
          <w:szCs w:val="44"/>
        </w:rPr>
        <w:t>第</w:t>
      </w:r>
      <w:r>
        <w:rPr>
          <w:rStyle w:val="26"/>
          <w:rFonts w:hint="eastAsia" w:ascii="黑体" w:hAnsi="黑体" w:eastAsia="黑体"/>
          <w:b w:val="0"/>
        </w:rPr>
        <w:t>五部分 附表</w:t>
      </w:r>
      <w:bookmarkEnd w:id="51"/>
      <w:bookmarkEnd w:id="53"/>
    </w:p>
    <w:p>
      <w:pPr>
        <w:spacing w:line="600" w:lineRule="exact"/>
        <w:jc w:val="center"/>
        <w:outlineLvl w:val="0"/>
        <w:rPr>
          <w:rFonts w:ascii="仿宋" w:hAnsi="仿宋" w:eastAsia="仿宋"/>
          <w:b/>
          <w:color w:val="000000"/>
          <w:sz w:val="44"/>
          <w:szCs w:val="44"/>
        </w:rPr>
      </w:pPr>
    </w:p>
    <w:p>
      <w:pPr>
        <w:pStyle w:val="4"/>
        <w:rPr>
          <w:rFonts w:ascii="仿宋" w:hAnsi="仿宋" w:eastAsia="仿宋"/>
          <w:color w:val="000000"/>
        </w:rPr>
      </w:pPr>
      <w:bookmarkStart w:id="54" w:name="_Toc15396619"/>
      <w:r>
        <w:rPr>
          <w:rFonts w:hint="eastAsia" w:ascii="仿宋" w:hAnsi="仿宋" w:eastAsia="仿宋"/>
          <w:b w:val="0"/>
          <w:color w:val="000000"/>
        </w:rPr>
        <w:t>一、收</w:t>
      </w:r>
      <w:r>
        <w:rPr>
          <w:rStyle w:val="27"/>
          <w:rFonts w:hint="eastAsia" w:ascii="仿宋" w:hAnsi="仿宋" w:eastAsia="仿宋"/>
          <w:b w:val="0"/>
          <w:bCs w:val="0"/>
        </w:rPr>
        <w:t>入支出决算总表</w:t>
      </w:r>
      <w:bookmarkEnd w:id="54"/>
    </w:p>
    <w:p>
      <w:pPr>
        <w:pStyle w:val="4"/>
        <w:rPr>
          <w:rFonts w:ascii="仿宋" w:hAnsi="仿宋" w:eastAsia="仿宋"/>
          <w:color w:val="000000"/>
        </w:rPr>
      </w:pPr>
      <w:bookmarkStart w:id="55" w:name="_Toc15396620"/>
      <w:r>
        <w:rPr>
          <w:rFonts w:hint="eastAsia" w:ascii="仿宋" w:hAnsi="仿宋" w:eastAsia="仿宋"/>
          <w:b w:val="0"/>
          <w:color w:val="000000"/>
        </w:rPr>
        <w:t>二、收</w:t>
      </w:r>
      <w:r>
        <w:rPr>
          <w:rStyle w:val="27"/>
          <w:rFonts w:hint="eastAsia" w:ascii="仿宋" w:hAnsi="仿宋" w:eastAsia="仿宋"/>
          <w:b w:val="0"/>
          <w:bCs w:val="0"/>
        </w:rPr>
        <w:t>入总表</w:t>
      </w:r>
      <w:bookmarkEnd w:id="55"/>
    </w:p>
    <w:p>
      <w:pPr>
        <w:pStyle w:val="4"/>
        <w:rPr>
          <w:rFonts w:ascii="仿宋" w:hAnsi="仿宋" w:eastAsia="仿宋"/>
          <w:color w:val="000000"/>
        </w:rPr>
      </w:pPr>
      <w:bookmarkStart w:id="56" w:name="_Toc15396621"/>
      <w:r>
        <w:rPr>
          <w:rStyle w:val="27"/>
          <w:rFonts w:hint="eastAsia" w:ascii="仿宋" w:hAnsi="仿宋" w:eastAsia="仿宋"/>
          <w:b w:val="0"/>
          <w:bCs w:val="0"/>
        </w:rPr>
        <w:t>三、</w:t>
      </w:r>
      <w:r>
        <w:rPr>
          <w:rFonts w:hint="eastAsia" w:ascii="仿宋" w:hAnsi="仿宋" w:eastAsia="仿宋"/>
          <w:b w:val="0"/>
          <w:color w:val="000000"/>
        </w:rPr>
        <w:t>支</w:t>
      </w:r>
      <w:r>
        <w:rPr>
          <w:rStyle w:val="27"/>
          <w:rFonts w:hint="eastAsia" w:ascii="仿宋" w:hAnsi="仿宋" w:eastAsia="仿宋"/>
          <w:b w:val="0"/>
          <w:bCs w:val="0"/>
        </w:rPr>
        <w:t>出总表</w:t>
      </w:r>
      <w:bookmarkEnd w:id="56"/>
    </w:p>
    <w:p>
      <w:pPr>
        <w:pStyle w:val="4"/>
        <w:rPr>
          <w:rFonts w:ascii="仿宋" w:hAnsi="仿宋" w:eastAsia="仿宋"/>
          <w:b w:val="0"/>
          <w:color w:val="000000"/>
        </w:rPr>
      </w:pPr>
      <w:bookmarkStart w:id="57" w:name="_Toc15396622"/>
      <w:r>
        <w:rPr>
          <w:rStyle w:val="27"/>
          <w:rFonts w:hint="eastAsia" w:ascii="仿宋" w:hAnsi="仿宋" w:eastAsia="仿宋"/>
          <w:b w:val="0"/>
          <w:bCs w:val="0"/>
        </w:rPr>
        <w:t>四、</w:t>
      </w:r>
      <w:r>
        <w:rPr>
          <w:rFonts w:hint="eastAsia" w:ascii="仿宋" w:hAnsi="仿宋" w:eastAsia="仿宋"/>
          <w:b w:val="0"/>
          <w:color w:val="000000"/>
        </w:rPr>
        <w:t>财</w:t>
      </w:r>
      <w:r>
        <w:rPr>
          <w:rStyle w:val="27"/>
          <w:rFonts w:hint="eastAsia" w:ascii="仿宋" w:hAnsi="仿宋" w:eastAsia="仿宋"/>
          <w:b w:val="0"/>
          <w:bCs w:val="0"/>
        </w:rPr>
        <w:t>政拨款收入支出决算总表</w:t>
      </w:r>
      <w:bookmarkEnd w:id="57"/>
    </w:p>
    <w:p>
      <w:pPr>
        <w:pStyle w:val="4"/>
        <w:rPr>
          <w:rFonts w:ascii="仿宋" w:hAnsi="仿宋" w:eastAsia="仿宋"/>
          <w:color w:val="000000"/>
        </w:rPr>
      </w:pPr>
      <w:bookmarkStart w:id="58" w:name="_Toc15396623"/>
      <w:r>
        <w:rPr>
          <w:rStyle w:val="27"/>
          <w:rFonts w:hint="eastAsia" w:ascii="仿宋" w:hAnsi="仿宋" w:eastAsia="仿宋"/>
          <w:b w:val="0"/>
          <w:bCs w:val="0"/>
        </w:rPr>
        <w:t>五、</w:t>
      </w:r>
      <w:r>
        <w:rPr>
          <w:rFonts w:hint="eastAsia" w:ascii="仿宋" w:hAnsi="仿宋" w:eastAsia="仿宋"/>
          <w:b w:val="0"/>
          <w:color w:val="000000"/>
        </w:rPr>
        <w:t>财</w:t>
      </w:r>
      <w:r>
        <w:rPr>
          <w:rStyle w:val="27"/>
          <w:rFonts w:hint="eastAsia" w:ascii="仿宋" w:hAnsi="仿宋" w:eastAsia="仿宋"/>
          <w:b w:val="0"/>
          <w:bCs w:val="0"/>
        </w:rPr>
        <w:t>政拨款支出决算明细表（政府经济分类科目）</w:t>
      </w:r>
      <w:bookmarkEnd w:id="58"/>
    </w:p>
    <w:p>
      <w:pPr>
        <w:pStyle w:val="4"/>
        <w:rPr>
          <w:rFonts w:ascii="仿宋" w:hAnsi="仿宋" w:eastAsia="仿宋"/>
          <w:color w:val="000000"/>
        </w:rPr>
      </w:pPr>
      <w:bookmarkStart w:id="59" w:name="_Toc15396624"/>
      <w:r>
        <w:rPr>
          <w:rStyle w:val="27"/>
          <w:rFonts w:hint="eastAsia" w:ascii="仿宋" w:hAnsi="仿宋" w:eastAsia="仿宋"/>
          <w:b w:val="0"/>
          <w:bCs w:val="0"/>
        </w:rPr>
        <w:t>六、</w:t>
      </w:r>
      <w:r>
        <w:rPr>
          <w:rFonts w:hint="eastAsia" w:ascii="仿宋" w:hAnsi="仿宋" w:eastAsia="仿宋"/>
          <w:b w:val="0"/>
          <w:color w:val="000000"/>
        </w:rPr>
        <w:t>一</w:t>
      </w:r>
      <w:r>
        <w:rPr>
          <w:rStyle w:val="27"/>
          <w:rFonts w:hint="eastAsia" w:ascii="仿宋" w:hAnsi="仿宋" w:eastAsia="仿宋"/>
          <w:b w:val="0"/>
          <w:bCs w:val="0"/>
        </w:rPr>
        <w:t>般公共预算财政拨款支出决算表</w:t>
      </w:r>
      <w:bookmarkEnd w:id="59"/>
    </w:p>
    <w:p>
      <w:pPr>
        <w:pStyle w:val="4"/>
        <w:rPr>
          <w:rFonts w:ascii="仿宋" w:hAnsi="仿宋" w:eastAsia="仿宋"/>
          <w:color w:val="000000"/>
        </w:rPr>
      </w:pPr>
      <w:bookmarkStart w:id="60" w:name="_Toc15396625"/>
      <w:r>
        <w:rPr>
          <w:rStyle w:val="27"/>
          <w:rFonts w:hint="eastAsia" w:ascii="仿宋" w:hAnsi="仿宋" w:eastAsia="仿宋"/>
          <w:b w:val="0"/>
          <w:bCs w:val="0"/>
        </w:rPr>
        <w:t>七、</w:t>
      </w:r>
      <w:r>
        <w:rPr>
          <w:rFonts w:hint="eastAsia" w:ascii="仿宋" w:hAnsi="仿宋" w:eastAsia="仿宋"/>
          <w:b w:val="0"/>
          <w:color w:val="000000"/>
        </w:rPr>
        <w:t>一</w:t>
      </w:r>
      <w:r>
        <w:rPr>
          <w:rStyle w:val="27"/>
          <w:rFonts w:hint="eastAsia" w:ascii="仿宋" w:hAnsi="仿宋" w:eastAsia="仿宋"/>
          <w:b w:val="0"/>
          <w:bCs w:val="0"/>
        </w:rPr>
        <w:t>般公共预算财政拨款支出决算明细表</w:t>
      </w:r>
      <w:bookmarkEnd w:id="60"/>
    </w:p>
    <w:p>
      <w:pPr>
        <w:pStyle w:val="4"/>
        <w:rPr>
          <w:rFonts w:ascii="仿宋" w:hAnsi="仿宋" w:eastAsia="仿宋"/>
          <w:color w:val="000000"/>
        </w:rPr>
      </w:pPr>
      <w:bookmarkStart w:id="61" w:name="_Toc15396626"/>
      <w:r>
        <w:rPr>
          <w:rStyle w:val="27"/>
          <w:rFonts w:hint="eastAsia" w:ascii="仿宋" w:hAnsi="仿宋" w:eastAsia="仿宋"/>
          <w:b w:val="0"/>
          <w:bCs w:val="0"/>
        </w:rPr>
        <w:t>八、</w:t>
      </w:r>
      <w:r>
        <w:rPr>
          <w:rFonts w:hint="eastAsia" w:ascii="仿宋" w:hAnsi="仿宋" w:eastAsia="仿宋"/>
          <w:b w:val="0"/>
          <w:color w:val="000000"/>
        </w:rPr>
        <w:t>一</w:t>
      </w:r>
      <w:r>
        <w:rPr>
          <w:rStyle w:val="27"/>
          <w:rFonts w:hint="eastAsia" w:ascii="仿宋" w:hAnsi="仿宋" w:eastAsia="仿宋"/>
          <w:b w:val="0"/>
          <w:bCs w:val="0"/>
        </w:rPr>
        <w:t>般公共预算财政拨款基本支出决算表</w:t>
      </w:r>
      <w:bookmarkEnd w:id="61"/>
    </w:p>
    <w:p>
      <w:pPr>
        <w:pStyle w:val="4"/>
        <w:rPr>
          <w:rFonts w:ascii="仿宋" w:hAnsi="仿宋" w:eastAsia="仿宋"/>
          <w:color w:val="000000"/>
        </w:rPr>
      </w:pPr>
      <w:bookmarkStart w:id="62" w:name="_Toc15396627"/>
      <w:r>
        <w:rPr>
          <w:rStyle w:val="27"/>
          <w:rFonts w:hint="eastAsia" w:ascii="仿宋" w:hAnsi="仿宋" w:eastAsia="仿宋"/>
          <w:b w:val="0"/>
          <w:bCs w:val="0"/>
        </w:rPr>
        <w:t>九、</w:t>
      </w:r>
      <w:r>
        <w:rPr>
          <w:rFonts w:hint="eastAsia" w:ascii="仿宋" w:hAnsi="仿宋" w:eastAsia="仿宋"/>
          <w:b w:val="0"/>
          <w:color w:val="000000"/>
        </w:rPr>
        <w:t>一</w:t>
      </w:r>
      <w:r>
        <w:rPr>
          <w:rStyle w:val="27"/>
          <w:rFonts w:hint="eastAsia" w:ascii="仿宋" w:hAnsi="仿宋" w:eastAsia="仿宋"/>
          <w:b w:val="0"/>
          <w:bCs w:val="0"/>
        </w:rPr>
        <w:t>般公共预算财政拨款项目支出决算表</w:t>
      </w:r>
      <w:bookmarkEnd w:id="62"/>
    </w:p>
    <w:p>
      <w:pPr>
        <w:pStyle w:val="4"/>
        <w:rPr>
          <w:rFonts w:ascii="仿宋" w:hAnsi="仿宋" w:eastAsia="仿宋"/>
          <w:color w:val="000000"/>
        </w:rPr>
      </w:pPr>
      <w:bookmarkStart w:id="63" w:name="_Toc15396628"/>
      <w:r>
        <w:rPr>
          <w:rStyle w:val="27"/>
          <w:rFonts w:hint="eastAsia" w:ascii="仿宋" w:hAnsi="仿宋" w:eastAsia="仿宋"/>
          <w:b w:val="0"/>
          <w:bCs w:val="0"/>
        </w:rPr>
        <w:t>十、</w:t>
      </w:r>
      <w:r>
        <w:rPr>
          <w:rFonts w:hint="eastAsia" w:ascii="仿宋" w:hAnsi="仿宋" w:eastAsia="仿宋"/>
          <w:b w:val="0"/>
          <w:color w:val="000000"/>
        </w:rPr>
        <w:t>一</w:t>
      </w:r>
      <w:r>
        <w:rPr>
          <w:rStyle w:val="27"/>
          <w:rFonts w:hint="eastAsia" w:ascii="仿宋" w:hAnsi="仿宋" w:eastAsia="仿宋"/>
          <w:b w:val="0"/>
          <w:bCs w:val="0"/>
        </w:rPr>
        <w:t>般公共预算财政拨款“三公”经费支出决算表</w:t>
      </w:r>
      <w:bookmarkEnd w:id="63"/>
    </w:p>
    <w:p>
      <w:pPr>
        <w:pStyle w:val="4"/>
        <w:rPr>
          <w:rFonts w:ascii="仿宋" w:hAnsi="仿宋" w:eastAsia="仿宋"/>
          <w:color w:val="000000"/>
        </w:rPr>
      </w:pPr>
      <w:bookmarkStart w:id="64" w:name="_Toc15396629"/>
      <w:bookmarkStart w:id="65" w:name="_Toc15396630"/>
      <w:r>
        <w:rPr>
          <w:rStyle w:val="27"/>
          <w:rFonts w:hint="eastAsia" w:ascii="仿宋" w:hAnsi="仿宋" w:eastAsia="仿宋"/>
          <w:b w:val="0"/>
          <w:bCs w:val="0"/>
        </w:rPr>
        <w:t>十一、</w:t>
      </w:r>
      <w:r>
        <w:rPr>
          <w:rFonts w:hint="eastAsia" w:ascii="仿宋" w:hAnsi="仿宋" w:eastAsia="仿宋"/>
          <w:b w:val="0"/>
          <w:color w:val="000000"/>
        </w:rPr>
        <w:t>政</w:t>
      </w:r>
      <w:r>
        <w:rPr>
          <w:rStyle w:val="27"/>
          <w:rFonts w:hint="eastAsia" w:ascii="仿宋" w:hAnsi="仿宋" w:eastAsia="仿宋"/>
          <w:b w:val="0"/>
          <w:bCs w:val="0"/>
        </w:rPr>
        <w:t>府性基金预算财政拨款收入支出决算表</w:t>
      </w:r>
      <w:bookmarkEnd w:id="64"/>
    </w:p>
    <w:p>
      <w:pPr>
        <w:pStyle w:val="4"/>
        <w:rPr>
          <w:rFonts w:ascii="仿宋" w:hAnsi="仿宋" w:eastAsia="仿宋"/>
          <w:color w:val="000000"/>
        </w:rPr>
      </w:pPr>
      <w:r>
        <w:rPr>
          <w:rStyle w:val="27"/>
          <w:rFonts w:hint="eastAsia" w:ascii="仿宋" w:hAnsi="仿宋" w:eastAsia="仿宋"/>
          <w:b w:val="0"/>
          <w:bCs w:val="0"/>
        </w:rPr>
        <w:t>十二、</w:t>
      </w:r>
      <w:r>
        <w:rPr>
          <w:rFonts w:hint="eastAsia" w:ascii="仿宋" w:hAnsi="仿宋" w:eastAsia="仿宋"/>
          <w:b w:val="0"/>
          <w:color w:val="000000"/>
        </w:rPr>
        <w:t>政</w:t>
      </w:r>
      <w:r>
        <w:rPr>
          <w:rStyle w:val="27"/>
          <w:rFonts w:hint="eastAsia" w:ascii="仿宋" w:hAnsi="仿宋" w:eastAsia="仿宋"/>
          <w:b w:val="0"/>
          <w:bCs w:val="0"/>
        </w:rPr>
        <w:t>府性基金预算财政拨款“三公”经费支出决算表</w:t>
      </w:r>
      <w:bookmarkEnd w:id="65"/>
    </w:p>
    <w:p>
      <w:pPr>
        <w:pStyle w:val="4"/>
        <w:rPr>
          <w:rFonts w:ascii="仿宋" w:hAnsi="仿宋" w:eastAsia="仿宋"/>
          <w:color w:val="000000" w:themeColor="text1"/>
        </w:rPr>
      </w:pPr>
      <w:bookmarkStart w:id="66" w:name="_Toc15396631"/>
      <w:r>
        <w:rPr>
          <w:rStyle w:val="27"/>
          <w:rFonts w:hint="eastAsia" w:ascii="仿宋" w:hAnsi="仿宋" w:eastAsia="仿宋"/>
          <w:b w:val="0"/>
          <w:bCs w:val="0"/>
        </w:rPr>
        <w:t>十三、</w:t>
      </w:r>
      <w:r>
        <w:rPr>
          <w:rFonts w:hint="eastAsia" w:ascii="仿宋" w:hAnsi="仿宋" w:eastAsia="仿宋"/>
          <w:b w:val="0"/>
          <w:color w:val="000000"/>
        </w:rPr>
        <w:t>国</w:t>
      </w:r>
      <w:r>
        <w:rPr>
          <w:rStyle w:val="27"/>
          <w:rFonts w:hint="eastAsia" w:ascii="仿宋" w:hAnsi="仿宋" w:eastAsia="仿宋"/>
          <w:b w:val="0"/>
          <w:bCs w:val="0"/>
        </w:rPr>
        <w:t>有资本经营预算支出决算表</w:t>
      </w:r>
      <w:bookmarkEnd w:id="66"/>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仿宋"/>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rPr>
            <w:rFonts w:hint="eastAsia"/>
          </w:rPr>
        </w:pPr>
        <w:r>
          <w:fldChar w:fldCharType="begin"/>
        </w:r>
        <w:r>
          <w:instrText xml:space="preserve">PAGE   \* MERGEFORMAT</w:instrText>
        </w:r>
        <w:r>
          <w:fldChar w:fldCharType="separate"/>
        </w:r>
        <w:r>
          <w:rPr>
            <w:rFonts w:hint="eastAsia"/>
            <w:lang w:val="zh-CN"/>
          </w:rPr>
          <w:t>16</w:t>
        </w:r>
        <w:r>
          <w:fldChar w:fldCharType="end"/>
        </w:r>
      </w:p>
    </w:sdtContent>
  </w:sdt>
  <w:p>
    <w:pPr>
      <w:pStyle w:val="9"/>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480"/>
      </w:tabs>
      <w:jc w:val="both"/>
      <w:rPr>
        <w:rFonts w:hint="eastAsia"/>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6E2141"/>
    <w:multiLevelType w:val="singleLevel"/>
    <w:tmpl w:val="B66E2141"/>
    <w:lvl w:ilvl="0" w:tentative="0">
      <w:start w:val="2"/>
      <w:numFmt w:val="chineseCounting"/>
      <w:suff w:val="nothing"/>
      <w:lvlText w:val="（%1）"/>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1A2BFB30"/>
    <w:multiLevelType w:val="singleLevel"/>
    <w:tmpl w:val="1A2BFB30"/>
    <w:lvl w:ilvl="0" w:tentative="0">
      <w:start w:val="1"/>
      <w:numFmt w:val="decimal"/>
      <w:lvlText w:val="%1."/>
      <w:lvlJc w:val="left"/>
      <w:pPr>
        <w:tabs>
          <w:tab w:val="left" w:pos="312"/>
        </w:tabs>
      </w:pPr>
    </w:lvl>
  </w:abstractNum>
  <w:abstractNum w:abstractNumId="3">
    <w:nsid w:val="5BFF845D"/>
    <w:multiLevelType w:val="singleLevel"/>
    <w:tmpl w:val="5BFF845D"/>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023AA"/>
    <w:rsid w:val="00004AF6"/>
    <w:rsid w:val="0001564F"/>
    <w:rsid w:val="00020288"/>
    <w:rsid w:val="000222C6"/>
    <w:rsid w:val="000227CF"/>
    <w:rsid w:val="0002549F"/>
    <w:rsid w:val="000319C4"/>
    <w:rsid w:val="00036E08"/>
    <w:rsid w:val="0006487A"/>
    <w:rsid w:val="00065F8F"/>
    <w:rsid w:val="000702A3"/>
    <w:rsid w:val="000713A1"/>
    <w:rsid w:val="000768F2"/>
    <w:rsid w:val="0009184B"/>
    <w:rsid w:val="00094517"/>
    <w:rsid w:val="0009593C"/>
    <w:rsid w:val="000A2644"/>
    <w:rsid w:val="000B047F"/>
    <w:rsid w:val="000B5923"/>
    <w:rsid w:val="000B5A48"/>
    <w:rsid w:val="000B6FF3"/>
    <w:rsid w:val="000C29BE"/>
    <w:rsid w:val="000C2AB9"/>
    <w:rsid w:val="000C3467"/>
    <w:rsid w:val="000C3CA6"/>
    <w:rsid w:val="000D1267"/>
    <w:rsid w:val="000D1D50"/>
    <w:rsid w:val="000D4036"/>
    <w:rsid w:val="000D5782"/>
    <w:rsid w:val="000E41C0"/>
    <w:rsid w:val="000E6613"/>
    <w:rsid w:val="000E7119"/>
    <w:rsid w:val="000F3DB7"/>
    <w:rsid w:val="00114E9B"/>
    <w:rsid w:val="001223E8"/>
    <w:rsid w:val="00122A43"/>
    <w:rsid w:val="0014729F"/>
    <w:rsid w:val="00152BBB"/>
    <w:rsid w:val="00157BAB"/>
    <w:rsid w:val="001654D1"/>
    <w:rsid w:val="0018106D"/>
    <w:rsid w:val="001877A7"/>
    <w:rsid w:val="00191536"/>
    <w:rsid w:val="00196687"/>
    <w:rsid w:val="001C0962"/>
    <w:rsid w:val="001C5C7E"/>
    <w:rsid w:val="001D7531"/>
    <w:rsid w:val="001E737D"/>
    <w:rsid w:val="001F0592"/>
    <w:rsid w:val="001F5A76"/>
    <w:rsid w:val="001F7506"/>
    <w:rsid w:val="002006CD"/>
    <w:rsid w:val="00202B36"/>
    <w:rsid w:val="00204B7A"/>
    <w:rsid w:val="0021101A"/>
    <w:rsid w:val="00220536"/>
    <w:rsid w:val="00232019"/>
    <w:rsid w:val="00235629"/>
    <w:rsid w:val="00235DC1"/>
    <w:rsid w:val="00252705"/>
    <w:rsid w:val="00260C38"/>
    <w:rsid w:val="002616C0"/>
    <w:rsid w:val="002662AA"/>
    <w:rsid w:val="00280496"/>
    <w:rsid w:val="002838F1"/>
    <w:rsid w:val="002900A4"/>
    <w:rsid w:val="00295495"/>
    <w:rsid w:val="002A36FB"/>
    <w:rsid w:val="002B2613"/>
    <w:rsid w:val="002D7E49"/>
    <w:rsid w:val="002E3CB5"/>
    <w:rsid w:val="002E5821"/>
    <w:rsid w:val="002F1818"/>
    <w:rsid w:val="002F327D"/>
    <w:rsid w:val="002F567B"/>
    <w:rsid w:val="003216A9"/>
    <w:rsid w:val="0037013F"/>
    <w:rsid w:val="00371F8B"/>
    <w:rsid w:val="00380C92"/>
    <w:rsid w:val="0038618A"/>
    <w:rsid w:val="0039783C"/>
    <w:rsid w:val="003A484F"/>
    <w:rsid w:val="003B0BE0"/>
    <w:rsid w:val="003B0C1B"/>
    <w:rsid w:val="003B688C"/>
    <w:rsid w:val="003C0291"/>
    <w:rsid w:val="003C39AE"/>
    <w:rsid w:val="003C7B60"/>
    <w:rsid w:val="003D1FB2"/>
    <w:rsid w:val="003D66DA"/>
    <w:rsid w:val="003E11AB"/>
    <w:rsid w:val="003E1310"/>
    <w:rsid w:val="003E6F55"/>
    <w:rsid w:val="00400BD3"/>
    <w:rsid w:val="0040503F"/>
    <w:rsid w:val="00406254"/>
    <w:rsid w:val="0041029B"/>
    <w:rsid w:val="004223DE"/>
    <w:rsid w:val="00424BC2"/>
    <w:rsid w:val="00434489"/>
    <w:rsid w:val="0043502E"/>
    <w:rsid w:val="00437085"/>
    <w:rsid w:val="00443880"/>
    <w:rsid w:val="004464F4"/>
    <w:rsid w:val="00463A95"/>
    <w:rsid w:val="00471401"/>
    <w:rsid w:val="00473F31"/>
    <w:rsid w:val="0048083A"/>
    <w:rsid w:val="0048263A"/>
    <w:rsid w:val="00487E5D"/>
    <w:rsid w:val="004A711F"/>
    <w:rsid w:val="004B199D"/>
    <w:rsid w:val="004B4468"/>
    <w:rsid w:val="004B4690"/>
    <w:rsid w:val="004E0A2D"/>
    <w:rsid w:val="004E206B"/>
    <w:rsid w:val="004E6DF7"/>
    <w:rsid w:val="004F0FBD"/>
    <w:rsid w:val="004F110F"/>
    <w:rsid w:val="00502F32"/>
    <w:rsid w:val="00505A47"/>
    <w:rsid w:val="005125AD"/>
    <w:rsid w:val="00512FDA"/>
    <w:rsid w:val="00520DA0"/>
    <w:rsid w:val="00547083"/>
    <w:rsid w:val="0055179C"/>
    <w:rsid w:val="005547C2"/>
    <w:rsid w:val="005606F6"/>
    <w:rsid w:val="005649CC"/>
    <w:rsid w:val="005664BB"/>
    <w:rsid w:val="0057481D"/>
    <w:rsid w:val="0058486E"/>
    <w:rsid w:val="005C0156"/>
    <w:rsid w:val="005D1C8B"/>
    <w:rsid w:val="005D5CED"/>
    <w:rsid w:val="005F1A4C"/>
    <w:rsid w:val="005F1EBC"/>
    <w:rsid w:val="00605688"/>
    <w:rsid w:val="006070AF"/>
    <w:rsid w:val="00607E6C"/>
    <w:rsid w:val="006101B1"/>
    <w:rsid w:val="00614E44"/>
    <w:rsid w:val="006177E0"/>
    <w:rsid w:val="00622830"/>
    <w:rsid w:val="00630AEF"/>
    <w:rsid w:val="006325F8"/>
    <w:rsid w:val="00634C9A"/>
    <w:rsid w:val="00641275"/>
    <w:rsid w:val="006440E4"/>
    <w:rsid w:val="0066343B"/>
    <w:rsid w:val="00664777"/>
    <w:rsid w:val="006748A4"/>
    <w:rsid w:val="006759C4"/>
    <w:rsid w:val="00676A35"/>
    <w:rsid w:val="00683E73"/>
    <w:rsid w:val="00697F11"/>
    <w:rsid w:val="006A3141"/>
    <w:rsid w:val="006A5E34"/>
    <w:rsid w:val="006B2422"/>
    <w:rsid w:val="006B2B9A"/>
    <w:rsid w:val="006B2D3D"/>
    <w:rsid w:val="006B49AC"/>
    <w:rsid w:val="006C1937"/>
    <w:rsid w:val="006E3DAA"/>
    <w:rsid w:val="006F020C"/>
    <w:rsid w:val="00711E0A"/>
    <w:rsid w:val="007127B7"/>
    <w:rsid w:val="0073224B"/>
    <w:rsid w:val="00740D95"/>
    <w:rsid w:val="007416B6"/>
    <w:rsid w:val="00746F48"/>
    <w:rsid w:val="0075404D"/>
    <w:rsid w:val="0076182A"/>
    <w:rsid w:val="00767B7E"/>
    <w:rsid w:val="007770C3"/>
    <w:rsid w:val="00784D24"/>
    <w:rsid w:val="00785FBA"/>
    <w:rsid w:val="00786E4A"/>
    <w:rsid w:val="007875EB"/>
    <w:rsid w:val="0079260E"/>
    <w:rsid w:val="0079426B"/>
    <w:rsid w:val="007A2E13"/>
    <w:rsid w:val="007B44EB"/>
    <w:rsid w:val="007D312A"/>
    <w:rsid w:val="007D3F19"/>
    <w:rsid w:val="007E23B0"/>
    <w:rsid w:val="007F1991"/>
    <w:rsid w:val="007F2C2F"/>
    <w:rsid w:val="007F55FC"/>
    <w:rsid w:val="007F5665"/>
    <w:rsid w:val="00800112"/>
    <w:rsid w:val="00801E31"/>
    <w:rsid w:val="008136AE"/>
    <w:rsid w:val="00813B46"/>
    <w:rsid w:val="008253BB"/>
    <w:rsid w:val="0083706E"/>
    <w:rsid w:val="00840A74"/>
    <w:rsid w:val="008423A5"/>
    <w:rsid w:val="00850625"/>
    <w:rsid w:val="00853718"/>
    <w:rsid w:val="00855221"/>
    <w:rsid w:val="00860645"/>
    <w:rsid w:val="00867199"/>
    <w:rsid w:val="00871F71"/>
    <w:rsid w:val="00885AF4"/>
    <w:rsid w:val="008939CD"/>
    <w:rsid w:val="008B768C"/>
    <w:rsid w:val="008C4DB1"/>
    <w:rsid w:val="008C4EAF"/>
    <w:rsid w:val="008C5176"/>
    <w:rsid w:val="008C6CBA"/>
    <w:rsid w:val="008C7FD0"/>
    <w:rsid w:val="008E1DE7"/>
    <w:rsid w:val="008E707C"/>
    <w:rsid w:val="00900B08"/>
    <w:rsid w:val="00902155"/>
    <w:rsid w:val="00902FA3"/>
    <w:rsid w:val="00906F0B"/>
    <w:rsid w:val="00923564"/>
    <w:rsid w:val="0092392E"/>
    <w:rsid w:val="009315F9"/>
    <w:rsid w:val="00946945"/>
    <w:rsid w:val="00951248"/>
    <w:rsid w:val="0095152F"/>
    <w:rsid w:val="00954C49"/>
    <w:rsid w:val="0097099F"/>
    <w:rsid w:val="00971997"/>
    <w:rsid w:val="00971FFC"/>
    <w:rsid w:val="00976769"/>
    <w:rsid w:val="00977DF8"/>
    <w:rsid w:val="0098660A"/>
    <w:rsid w:val="009931C3"/>
    <w:rsid w:val="009A1EB2"/>
    <w:rsid w:val="009B2C43"/>
    <w:rsid w:val="009B4EAE"/>
    <w:rsid w:val="009B7573"/>
    <w:rsid w:val="009C12F5"/>
    <w:rsid w:val="009C22F4"/>
    <w:rsid w:val="009C2E98"/>
    <w:rsid w:val="009D3447"/>
    <w:rsid w:val="009D4711"/>
    <w:rsid w:val="009F1185"/>
    <w:rsid w:val="009F18CD"/>
    <w:rsid w:val="009F2A13"/>
    <w:rsid w:val="00A04EB0"/>
    <w:rsid w:val="00A13CC1"/>
    <w:rsid w:val="00A16847"/>
    <w:rsid w:val="00A237D8"/>
    <w:rsid w:val="00A255F8"/>
    <w:rsid w:val="00A268C4"/>
    <w:rsid w:val="00A307CD"/>
    <w:rsid w:val="00A40A00"/>
    <w:rsid w:val="00A4142F"/>
    <w:rsid w:val="00A56DF2"/>
    <w:rsid w:val="00A67AB5"/>
    <w:rsid w:val="00A84CA8"/>
    <w:rsid w:val="00A91760"/>
    <w:rsid w:val="00A93B00"/>
    <w:rsid w:val="00A93C21"/>
    <w:rsid w:val="00AB60F8"/>
    <w:rsid w:val="00AC3C6A"/>
    <w:rsid w:val="00AD5620"/>
    <w:rsid w:val="00AD7C1B"/>
    <w:rsid w:val="00AE16BA"/>
    <w:rsid w:val="00AE1EBE"/>
    <w:rsid w:val="00AE6639"/>
    <w:rsid w:val="00AF5249"/>
    <w:rsid w:val="00B03C9D"/>
    <w:rsid w:val="00B060AE"/>
    <w:rsid w:val="00B10517"/>
    <w:rsid w:val="00B10BD4"/>
    <w:rsid w:val="00B14E76"/>
    <w:rsid w:val="00B161B8"/>
    <w:rsid w:val="00B2048C"/>
    <w:rsid w:val="00B24A2B"/>
    <w:rsid w:val="00B26737"/>
    <w:rsid w:val="00B310B9"/>
    <w:rsid w:val="00B35F3F"/>
    <w:rsid w:val="00B36CBB"/>
    <w:rsid w:val="00B425E0"/>
    <w:rsid w:val="00B440AA"/>
    <w:rsid w:val="00B44B70"/>
    <w:rsid w:val="00B514EB"/>
    <w:rsid w:val="00B53C56"/>
    <w:rsid w:val="00B60D09"/>
    <w:rsid w:val="00B77EA6"/>
    <w:rsid w:val="00B81598"/>
    <w:rsid w:val="00B841F1"/>
    <w:rsid w:val="00B944D6"/>
    <w:rsid w:val="00BB0682"/>
    <w:rsid w:val="00BB4DF0"/>
    <w:rsid w:val="00BC289F"/>
    <w:rsid w:val="00BC5361"/>
    <w:rsid w:val="00BC5460"/>
    <w:rsid w:val="00BC5F9E"/>
    <w:rsid w:val="00BC6B50"/>
    <w:rsid w:val="00BD0E25"/>
    <w:rsid w:val="00BF2E5C"/>
    <w:rsid w:val="00BF5BD6"/>
    <w:rsid w:val="00C002BD"/>
    <w:rsid w:val="00C03E31"/>
    <w:rsid w:val="00C10939"/>
    <w:rsid w:val="00C159EF"/>
    <w:rsid w:val="00C16C83"/>
    <w:rsid w:val="00C22C8F"/>
    <w:rsid w:val="00C33E72"/>
    <w:rsid w:val="00C354B2"/>
    <w:rsid w:val="00C35554"/>
    <w:rsid w:val="00C42709"/>
    <w:rsid w:val="00C533CC"/>
    <w:rsid w:val="00C5751C"/>
    <w:rsid w:val="00C577CB"/>
    <w:rsid w:val="00C61BFC"/>
    <w:rsid w:val="00C62B85"/>
    <w:rsid w:val="00C65438"/>
    <w:rsid w:val="00C91CBB"/>
    <w:rsid w:val="00CC09B6"/>
    <w:rsid w:val="00CC666F"/>
    <w:rsid w:val="00CD1E3F"/>
    <w:rsid w:val="00CE3CEC"/>
    <w:rsid w:val="00CE44F6"/>
    <w:rsid w:val="00CE49DA"/>
    <w:rsid w:val="00CE6790"/>
    <w:rsid w:val="00CE7B61"/>
    <w:rsid w:val="00D00095"/>
    <w:rsid w:val="00D021B0"/>
    <w:rsid w:val="00D03911"/>
    <w:rsid w:val="00D06ECE"/>
    <w:rsid w:val="00D12650"/>
    <w:rsid w:val="00D1386A"/>
    <w:rsid w:val="00D20620"/>
    <w:rsid w:val="00D26091"/>
    <w:rsid w:val="00D34E7C"/>
    <w:rsid w:val="00D35489"/>
    <w:rsid w:val="00D51276"/>
    <w:rsid w:val="00D54D65"/>
    <w:rsid w:val="00D6618E"/>
    <w:rsid w:val="00D7035F"/>
    <w:rsid w:val="00D9351A"/>
    <w:rsid w:val="00DA0A2C"/>
    <w:rsid w:val="00DA65AC"/>
    <w:rsid w:val="00DB1913"/>
    <w:rsid w:val="00DC410D"/>
    <w:rsid w:val="00DC68CA"/>
    <w:rsid w:val="00DC7CBA"/>
    <w:rsid w:val="00DD73B7"/>
    <w:rsid w:val="00DF28BC"/>
    <w:rsid w:val="00DF34B9"/>
    <w:rsid w:val="00E01053"/>
    <w:rsid w:val="00E07ACF"/>
    <w:rsid w:val="00E132C8"/>
    <w:rsid w:val="00E26850"/>
    <w:rsid w:val="00E305A2"/>
    <w:rsid w:val="00E331A1"/>
    <w:rsid w:val="00E33202"/>
    <w:rsid w:val="00E336A9"/>
    <w:rsid w:val="00E452C2"/>
    <w:rsid w:val="00E50624"/>
    <w:rsid w:val="00E568DF"/>
    <w:rsid w:val="00E64269"/>
    <w:rsid w:val="00E82267"/>
    <w:rsid w:val="00E84545"/>
    <w:rsid w:val="00EA010F"/>
    <w:rsid w:val="00EB340C"/>
    <w:rsid w:val="00EC2788"/>
    <w:rsid w:val="00ED1B63"/>
    <w:rsid w:val="00ED29BE"/>
    <w:rsid w:val="00ED3C1F"/>
    <w:rsid w:val="00ED4085"/>
    <w:rsid w:val="00ED420E"/>
    <w:rsid w:val="00EE2C74"/>
    <w:rsid w:val="00EE2F57"/>
    <w:rsid w:val="00EE47D4"/>
    <w:rsid w:val="00EF2CC8"/>
    <w:rsid w:val="00EF4C34"/>
    <w:rsid w:val="00EF77C6"/>
    <w:rsid w:val="00F05438"/>
    <w:rsid w:val="00F1361C"/>
    <w:rsid w:val="00F160C7"/>
    <w:rsid w:val="00F16F6D"/>
    <w:rsid w:val="00F34ED1"/>
    <w:rsid w:val="00F36D8F"/>
    <w:rsid w:val="00F417B1"/>
    <w:rsid w:val="00F44D18"/>
    <w:rsid w:val="00F602DF"/>
    <w:rsid w:val="00F81FD9"/>
    <w:rsid w:val="00F841AA"/>
    <w:rsid w:val="00F90690"/>
    <w:rsid w:val="00F9670D"/>
    <w:rsid w:val="00FA23E8"/>
    <w:rsid w:val="00FB6F49"/>
    <w:rsid w:val="00FC262C"/>
    <w:rsid w:val="00FD3CC1"/>
    <w:rsid w:val="00FF1E02"/>
    <w:rsid w:val="00FF30B4"/>
    <w:rsid w:val="03E34E98"/>
    <w:rsid w:val="056A1A97"/>
    <w:rsid w:val="092927A2"/>
    <w:rsid w:val="0A226548"/>
    <w:rsid w:val="0D2F009F"/>
    <w:rsid w:val="0F596C84"/>
    <w:rsid w:val="10C055FF"/>
    <w:rsid w:val="10F955A4"/>
    <w:rsid w:val="12456638"/>
    <w:rsid w:val="16BB723D"/>
    <w:rsid w:val="16BB740F"/>
    <w:rsid w:val="17063A3F"/>
    <w:rsid w:val="1E8D7AB3"/>
    <w:rsid w:val="1F631701"/>
    <w:rsid w:val="202F50EF"/>
    <w:rsid w:val="20CB4123"/>
    <w:rsid w:val="223428F7"/>
    <w:rsid w:val="240371BF"/>
    <w:rsid w:val="26AB4E30"/>
    <w:rsid w:val="29E4020D"/>
    <w:rsid w:val="29FD04D3"/>
    <w:rsid w:val="2A090A84"/>
    <w:rsid w:val="319F7F4E"/>
    <w:rsid w:val="330F61CA"/>
    <w:rsid w:val="387C5B90"/>
    <w:rsid w:val="3CA35018"/>
    <w:rsid w:val="40F41C4F"/>
    <w:rsid w:val="439366E9"/>
    <w:rsid w:val="43BD4215"/>
    <w:rsid w:val="4C2C2712"/>
    <w:rsid w:val="4FC106C1"/>
    <w:rsid w:val="51B7155E"/>
    <w:rsid w:val="530E5617"/>
    <w:rsid w:val="534616E3"/>
    <w:rsid w:val="53CF7DFD"/>
    <w:rsid w:val="573C4515"/>
    <w:rsid w:val="574008DA"/>
    <w:rsid w:val="589B5339"/>
    <w:rsid w:val="5BC141B5"/>
    <w:rsid w:val="5D89232B"/>
    <w:rsid w:val="600C13FE"/>
    <w:rsid w:val="64DC035F"/>
    <w:rsid w:val="65CD2CC0"/>
    <w:rsid w:val="67CF4EC0"/>
    <w:rsid w:val="69314F05"/>
    <w:rsid w:val="6F256873"/>
    <w:rsid w:val="755339DB"/>
    <w:rsid w:val="7A1C4567"/>
    <w:rsid w:val="7D4E537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文档正文"/>
    <w:basedOn w:val="1"/>
    <w:qFormat/>
    <w:uiPriority w:val="0"/>
    <w:pPr>
      <w:adjustRightInd w:val="0"/>
      <w:spacing w:line="480" w:lineRule="atLeast"/>
      <w:textAlignment w:val="baseline"/>
    </w:pPr>
    <w:rPr>
      <w:rFonts w:ascii="Arial" w:hAnsi="Arial"/>
      <w:kern w:val="0"/>
    </w:rPr>
  </w:style>
  <w:style w:type="paragraph" w:styleId="6">
    <w:name w:val="Body Text"/>
    <w:basedOn w:val="1"/>
    <w:link w:val="23"/>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pPr>
      <w:spacing w:before="100" w:beforeAutospacing="1" w:after="100" w:afterAutospacing="1"/>
      <w:jc w:val="left"/>
    </w:pPr>
    <w:rPr>
      <w:kern w:val="0"/>
      <w:sz w:val="24"/>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rPr>
  </w:style>
  <w:style w:type="character" w:customStyle="1" w:styleId="18">
    <w:name w:val="Header Char"/>
    <w:basedOn w:val="15"/>
    <w:semiHidden/>
    <w:uiPriority w:val="99"/>
    <w:rPr>
      <w:rFonts w:ascii="Times New Roman" w:hAnsi="Times New Roman"/>
      <w:sz w:val="18"/>
      <w:szCs w:val="18"/>
    </w:rPr>
  </w:style>
  <w:style w:type="character" w:customStyle="1" w:styleId="19">
    <w:name w:val="页眉 Char"/>
    <w:link w:val="10"/>
    <w:semiHidden/>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6"/>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3"/>
    <w:qFormat/>
    <w:uiPriority w:val="9"/>
    <w:rPr>
      <w:rFonts w:ascii="Times New Roman" w:hAnsi="Times New Roman"/>
      <w:b/>
      <w:bCs/>
      <w:kern w:val="44"/>
      <w:sz w:val="44"/>
      <w:szCs w:val="44"/>
    </w:rPr>
  </w:style>
  <w:style w:type="character" w:customStyle="1" w:styleId="27">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9">
    <w:name w:val="批注框文本 Char"/>
    <w:basedOn w:val="15"/>
    <w:link w:val="8"/>
    <w:semiHidden/>
    <w:qFormat/>
    <w:uiPriority w:val="99"/>
    <w:rPr>
      <w:rFonts w:ascii="Times New Roman" w:hAnsi="Times New Roman"/>
      <w:kern w:val="2"/>
      <w:sz w:val="18"/>
      <w:szCs w:val="18"/>
    </w:rPr>
  </w:style>
  <w:style w:type="character" w:customStyle="1" w:styleId="30">
    <w:name w:val="标题 3 Char"/>
    <w:basedOn w:val="15"/>
    <w:link w:val="5"/>
    <w:qFormat/>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30"/>
    <customShpInfo spid="_x0000_s1031"/>
    <customShpInfo spid="_x0000_s1032"/>
    <customShpInfo spid="_x0000_s1033"/>
    <customShpInfo spid="_x0000_s103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910304-72F4-43FE-8C67-63C8AE65C28E}">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31</Pages>
  <Words>2236</Words>
  <Characters>12751</Characters>
  <Lines>106</Lines>
  <Paragraphs>29</Paragraphs>
  <TotalTime>1658</TotalTime>
  <ScaleCrop>false</ScaleCrop>
  <LinksUpToDate>false</LinksUpToDate>
  <CharactersWithSpaces>14958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邓巍桁</cp:lastModifiedBy>
  <cp:lastPrinted>2020-09-28T06:48:00Z</cp:lastPrinted>
  <dcterms:modified xsi:type="dcterms:W3CDTF">2020-09-28T09:46:25Z</dcterms:modified>
  <dc:title>四川省***</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